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0"/>
        <w:jc w:val="center"/>
        <w:rPr>
          <w:rFonts w:hint="eastAsia" w:ascii="宋体" w:hAnsi="宋体" w:cs="仿宋"/>
          <w:b/>
          <w:bCs/>
          <w:color w:val="000000"/>
          <w:sz w:val="84"/>
          <w:highlight w:val="none"/>
        </w:rPr>
      </w:pPr>
      <w:r>
        <w:rPr>
          <w:rFonts w:hint="eastAsia" w:ascii="宋体" w:hAnsi="宋体" w:cs="仿宋"/>
          <w:b/>
          <w:bCs/>
          <w:color w:val="000000"/>
          <w:sz w:val="84"/>
          <w:highlight w:val="none"/>
        </w:rPr>
      </w:r>
      <w:r/>
    </w:p>
    <w:p>
      <w:pPr>
        <w:pStyle w:val="933"/>
        <w:ind w:firstLine="0"/>
        <w:jc w:val="center"/>
        <w:rPr>
          <w:rFonts w:hint="eastAsia" w:ascii="宋体" w:hAnsi="宋体" w:cs="仿宋"/>
          <w:b/>
          <w:bCs/>
          <w:color w:val="000000"/>
          <w:sz w:val="84"/>
          <w:highlight w:val="none"/>
        </w:rPr>
      </w:pPr>
      <w:r>
        <w:rPr>
          <w:rFonts w:hint="eastAsia" w:ascii="宋体" w:hAnsi="宋体" w:cs="仿宋"/>
          <w:b/>
          <w:bCs/>
          <w:color w:val="000000"/>
          <w:sz w:val="84"/>
          <w:highlight w:val="none"/>
        </w:rPr>
        <w:t xml:space="preserve">招　标　文　件</w:t>
      </w:r>
      <w:r/>
    </w:p>
    <w:p>
      <w:pPr>
        <w:pStyle w:val="933"/>
        <w:ind w:left="3840" w:hanging="1606"/>
        <w:rPr>
          <w:rFonts w:ascii="宋体" w:hAnsi="宋体" w:cs="仿宋"/>
          <w:b/>
          <w:bCs/>
          <w:color w:val="000000"/>
          <w:sz w:val="32"/>
          <w:highlight w:val="none"/>
        </w:rPr>
      </w:pPr>
      <w:r>
        <w:rPr>
          <w:rFonts w:ascii="宋体" w:hAnsi="宋体" w:cs="仿宋"/>
          <w:b/>
          <w:bCs/>
          <w:color w:val="000000"/>
          <w:sz w:val="32"/>
          <w:highlight w:val="none"/>
        </w:rPr>
      </w:r>
      <w:r/>
    </w:p>
    <w:p>
      <w:pPr>
        <w:pStyle w:val="933"/>
        <w:ind w:left="1300" w:firstLine="0"/>
        <w:rPr>
          <w:rFonts w:hint="eastAsia" w:ascii="宋体" w:hAnsi="宋体" w:cs="仿宋"/>
          <w:b/>
          <w:bCs/>
          <w:color w:val="000000"/>
          <w:sz w:val="32"/>
          <w:highlight w:val="none"/>
        </w:rPr>
      </w:pPr>
      <w:r>
        <w:rPr>
          <w:rFonts w:hint="eastAsia" w:ascii="宋体" w:hAnsi="宋体" w:cs="仿宋"/>
          <w:b/>
          <w:bCs/>
          <w:color w:val="000000"/>
          <w:sz w:val="32"/>
          <w:highlight w:val="none"/>
        </w:rPr>
        <w:t xml:space="preserve">项目名称：园区地质灾害危险性区域评估项目</w:t>
      </w:r>
      <w:r/>
    </w:p>
    <w:p>
      <w:pPr>
        <w:ind w:firstLine="1285"/>
        <w:spacing w:before="120" w:after="120" w:line="360" w:lineRule="auto"/>
        <w:rPr>
          <w:rFonts w:hint="eastAsia" w:ascii="宋体" w:hAnsi="宋体" w:cs="仿宋"/>
          <w:b/>
          <w:color w:val="000000"/>
          <w:sz w:val="30"/>
          <w:szCs w:val="30"/>
          <w:highlight w:val="none"/>
        </w:rPr>
      </w:pPr>
      <w:r>
        <w:rPr>
          <w:rFonts w:hint="eastAsia" w:ascii="宋体" w:hAnsi="宋体" w:cs="仿宋"/>
          <w:b/>
          <w:bCs/>
          <w:color w:val="000000"/>
          <w:sz w:val="32"/>
          <w:highlight w:val="none"/>
        </w:rPr>
        <w:t xml:space="preserve">项目编号：</w:t>
      </w:r>
      <w:r>
        <w:rPr>
          <w:rFonts w:hint="eastAsia" w:ascii="宋体" w:hAnsi="宋体" w:cs="仿宋"/>
          <w:b/>
          <w:bCs/>
          <w:color w:val="000000"/>
          <w:sz w:val="32"/>
          <w:szCs w:val="24"/>
          <w:highlight w:val="none"/>
          <w:u w:val="single"/>
          <w:lang w:val="en-US" w:eastAsia="zh-CN"/>
        </w:rPr>
        <w:t xml:space="preserve"> JSZC-320623-NTCJ-G2025-0045  </w:t>
      </w:r>
      <w:r>
        <w:rPr>
          <w:rFonts w:hint="eastAsia" w:ascii="宋体" w:hAnsi="宋体" w:cs="仿宋"/>
          <w:color w:val="000000"/>
          <w:highlight w:val="none"/>
        </w:rPr>
        <w:t xml:space="preserve">        </w:t>
      </w:r>
      <w:r>
        <w:rPr>
          <w:rFonts w:hint="eastAsia" w:ascii="宋体" w:hAnsi="宋体" w:cs="仿宋"/>
          <w:b/>
          <w:color w:val="000000"/>
          <w:sz w:val="30"/>
          <w:szCs w:val="30"/>
          <w:highlight w:val="none"/>
        </w:rPr>
        <w:t xml:space="preserve">   </w:t>
      </w:r>
      <w:r>
        <w:rPr>
          <w:rFonts w:hint="eastAsia" w:ascii="宋体" w:hAnsi="宋体" w:cs="仿宋"/>
          <w:color w:val="000000"/>
          <w:highlight w:val="none"/>
        </w:rPr>
        <w:t xml:space="preserve">  </w:t>
      </w:r>
      <w:r>
        <w:rPr>
          <w:rFonts w:hint="eastAsia" w:ascii="宋体" w:hAnsi="宋体" w:cs="仿宋"/>
          <w:b/>
          <w:color w:val="000000"/>
          <w:sz w:val="30"/>
          <w:szCs w:val="30"/>
          <w:highlight w:val="none"/>
        </w:rPr>
        <w:t xml:space="preserve"> </w:t>
      </w:r>
      <w:r/>
    </w:p>
    <w:p>
      <w:pPr>
        <w:ind w:left="2811" w:hanging="2811"/>
        <w:jc w:val="center"/>
        <w:rPr>
          <w:rFonts w:hint="eastAsia" w:ascii="宋体" w:hAnsi="宋体" w:cs="仿宋"/>
          <w:b/>
          <w:color w:val="000000"/>
          <w:sz w:val="28"/>
          <w:szCs w:val="28"/>
          <w:highlight w:val="none"/>
        </w:rPr>
      </w:pPr>
      <w:r>
        <w:rPr>
          <w:rFonts w:hint="eastAsia" w:ascii="宋体" w:hAnsi="宋体" w:cs="仿宋"/>
          <w:b/>
          <w:color w:val="000000"/>
          <w:sz w:val="28"/>
          <w:szCs w:val="28"/>
          <w:highlight w:val="none"/>
        </w:rPr>
        <w:t xml:space="preserve">     （全流程电子化-服务类项目，适用苏采云系统）</w:t>
      </w:r>
      <w:r/>
    </w:p>
    <w:p>
      <w:pPr>
        <w:pStyle w:val="933"/>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933"/>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933"/>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933"/>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933"/>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933"/>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933"/>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933"/>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933"/>
        <w:ind w:firstLine="0"/>
        <w:spacing w:before="0" w:after="0"/>
        <w:rPr>
          <w:rFonts w:hint="eastAsia" w:ascii="宋体" w:hAnsi="宋体" w:cs="仿宋"/>
          <w:color w:val="000000"/>
          <w:highlight w:val="none"/>
        </w:rPr>
      </w:pPr>
      <w:r>
        <w:rPr>
          <w:rFonts w:hint="eastAsia" w:ascii="宋体" w:hAnsi="宋体" w:cs="仿宋"/>
          <w:color w:val="000000"/>
          <w:highlight w:val="none"/>
        </w:rPr>
      </w:r>
      <w:r/>
    </w:p>
    <w:p>
      <w:pPr>
        <w:pStyle w:val="933"/>
        <w:ind w:firstLine="0"/>
        <w:jc w:val="center"/>
        <w:rPr>
          <w:rFonts w:hint="eastAsia" w:ascii="宋体" w:hAnsi="宋体" w:cs="仿宋"/>
          <w:b/>
          <w:bCs/>
          <w:color w:val="000000"/>
          <w:sz w:val="32"/>
          <w:highlight w:val="none"/>
        </w:rPr>
      </w:pPr>
      <w:r>
        <w:rPr>
          <w:rFonts w:hint="eastAsia" w:ascii="宋体" w:hAnsi="宋体" w:cs="仿宋"/>
          <w:b/>
          <w:bCs/>
          <w:color w:val="000000"/>
          <w:sz w:val="32"/>
          <w:highlight w:val="none"/>
        </w:rPr>
        <w:t xml:space="preserve">如东县洋口镇人民政府</w:t>
      </w:r>
      <w:r/>
    </w:p>
    <w:p>
      <w:pPr>
        <w:pStyle w:val="933"/>
        <w:ind w:firstLine="0"/>
        <w:jc w:val="center"/>
        <w:rPr>
          <w:rFonts w:hint="eastAsia" w:ascii="宋体" w:hAnsi="宋体" w:cs="仿宋"/>
          <w:b/>
          <w:bCs/>
          <w:color w:val="000000"/>
          <w:sz w:val="32"/>
          <w:highlight w:val="none"/>
        </w:rPr>
      </w:pPr>
      <w:r>
        <w:rPr>
          <w:rFonts w:hint="eastAsia" w:ascii="宋体" w:hAnsi="宋体" w:cs="仿宋"/>
          <w:b/>
          <w:bCs/>
          <w:color w:val="000000"/>
          <w:sz w:val="32"/>
          <w:highlight w:val="none"/>
          <w:lang w:val="en-US" w:eastAsia="zh-CN"/>
        </w:rPr>
        <w:t xml:space="preserve">2025</w:t>
      </w:r>
      <w:r>
        <w:rPr>
          <w:rFonts w:hint="eastAsia" w:ascii="宋体" w:hAnsi="宋体" w:cs="仿宋"/>
          <w:b/>
          <w:bCs/>
          <w:color w:val="000000"/>
          <w:sz w:val="32"/>
          <w:highlight w:val="none"/>
        </w:rPr>
        <w:t xml:space="preserve">年</w:t>
      </w:r>
      <w:r>
        <w:rPr>
          <w:rFonts w:hint="eastAsia" w:ascii="宋体" w:hAnsi="宋体" w:cs="仿宋"/>
          <w:b/>
          <w:bCs/>
          <w:color w:val="000000"/>
          <w:sz w:val="32"/>
          <w:highlight w:val="none"/>
          <w:lang w:val="en-US" w:eastAsia="zh-CN"/>
        </w:rPr>
        <w:t xml:space="preserve">12</w:t>
      </w:r>
      <w:r>
        <w:rPr>
          <w:rFonts w:hint="eastAsia" w:ascii="宋体" w:hAnsi="宋体" w:cs="仿宋"/>
          <w:b/>
          <w:bCs/>
          <w:color w:val="000000"/>
          <w:sz w:val="32"/>
          <w:highlight w:val="none"/>
        </w:rPr>
        <w:t xml:space="preserve">月</w:t>
      </w:r>
      <w:r/>
    </w:p>
    <w:p>
      <w:pPr>
        <w:pStyle w:val="933"/>
        <w:ind w:firstLine="0"/>
        <w:rPr>
          <w:rFonts w:hint="eastAsia" w:ascii="宋体" w:hAnsi="宋体" w:cs="仿宋"/>
          <w:color w:val="000000"/>
          <w:highlight w:val="none"/>
          <w:u w:val="single"/>
        </w:rPr>
      </w:pPr>
      <w:r>
        <w:rPr>
          <w:rFonts w:hint="eastAsia" w:ascii="宋体" w:hAnsi="宋体" w:cs="仿宋"/>
          <w:color w:val="000000"/>
          <w:highlight w:val="none"/>
        </w:rPr>
        <w:t xml:space="preserve">                        </w:t>
      </w:r>
      <w:r/>
    </w:p>
    <w:p>
      <w:pPr>
        <w:pStyle w:val="933"/>
        <w:ind w:firstLine="0"/>
        <w:jc w:val="center"/>
        <w:rPr>
          <w:rFonts w:hint="eastAsia" w:ascii="宋体" w:hAnsi="宋体" w:cs="仿宋"/>
          <w:color w:val="000000"/>
          <w:highlight w:val="none"/>
        </w:rPr>
      </w:pPr>
      <w:r>
        <w:rPr>
          <w:rFonts w:hint="eastAsia" w:ascii="宋体" w:hAnsi="宋体" w:cs="仿宋"/>
          <w:color w:val="000000"/>
          <w:highlight w:val="none"/>
        </w:rPr>
      </w:r>
      <w:r/>
    </w:p>
    <w:p>
      <w:pPr>
        <w:jc w:val="center"/>
        <w:spacing w:line="480" w:lineRule="auto"/>
        <w:rPr>
          <w:rFonts w:hint="eastAsia" w:ascii="宋体" w:hAnsi="宋体" w:cs="仿宋"/>
          <w:color w:val="000000"/>
          <w:highlight w:val="none"/>
        </w:rPr>
        <w:sectPr>
          <w:headerReference w:type="default" r:id="rId9"/>
          <w:footnotePr/>
          <w:endnotePr/>
          <w:type w:val="nextPage"/>
          <w:pgSz w:w="11907" w:h="16840" w:orient="portrait"/>
          <w:pgMar w:top="1691" w:right="1273" w:bottom="1296" w:left="1426" w:header="1393" w:footer="1136" w:gutter="0"/>
          <w:cols w:num="1" w:sep="0" w:space="1701" w:equalWidth="1"/>
          <w:docGrid w:linePitch="360"/>
        </w:sectPr>
      </w:pPr>
      <w:r>
        <w:rPr>
          <w:rFonts w:hint="eastAsia" w:ascii="宋体" w:hAnsi="宋体" w:cs="仿宋"/>
          <w:color w:val="000000"/>
          <w:highlight w:val="none"/>
        </w:rPr>
      </w:r>
      <w:r/>
    </w:p>
    <w:p>
      <w:pPr>
        <w:pStyle w:val="93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570"/>
        <w:spacing w:line="480" w:lineRule="auto"/>
        <w:rPr>
          <w:rFonts w:hint="eastAsia" w:ascii="宋体" w:hAnsi="宋体" w:eastAsia="宋体" w:cs="宋体"/>
          <w:b/>
          <w:color w:val="auto"/>
          <w:sz w:val="44"/>
          <w:highlight w:val="none"/>
        </w:rPr>
      </w:pPr>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ascii="宋体" w:hAnsi="宋体" w:eastAsia="宋体" w:cs="宋体"/>
          <w:b/>
          <w:color w:val="auto"/>
          <w:sz w:val="44"/>
          <w:highlight w:val="none"/>
        </w:rPr>
        <w:t xml:space="preserve">总  目  录</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3"/>
        <w:rPr>
          <w:rFonts w:hint="eastAsia" w:ascii="宋体" w:hAnsi="宋体" w:eastAsia="宋体" w:cs="宋体"/>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"_Toc186493267" </w:instrText>
      </w:r>
      <w:r>
        <w:rPr>
          <w:rFonts w:hint="eastAsia" w:ascii="宋体" w:hAnsi="宋体" w:eastAsia="宋体" w:cs="宋体"/>
          <w:color w:val="auto"/>
          <w:highlight w:val="none"/>
        </w:rPr>
        <w:fldChar w:fldCharType="separate"/>
      </w:r>
      <w:r>
        <w:rPr>
          <w:rStyle w:val="749"/>
          <w:rFonts w:hint="eastAsia" w:ascii="宋体" w:hAnsi="宋体" w:eastAsia="宋体" w:cs="宋体"/>
          <w:b/>
          <w:bCs/>
          <w:color w:val="auto"/>
          <w:highlight w:val="none"/>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_Toc186493267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33"/>
        <w:rPr>
          <w:rFonts w:hint="eastAsia" w:ascii="宋体" w:hAnsi="宋体" w:eastAsia="宋体" w:cs="宋体"/>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"_Toc186493268" </w:instrText>
      </w:r>
      <w:r>
        <w:rPr>
          <w:rFonts w:hint="eastAsia" w:ascii="宋体" w:hAnsi="宋体" w:eastAsia="宋体" w:cs="宋体"/>
          <w:color w:val="auto"/>
          <w:highlight w:val="none"/>
        </w:rPr>
        <w:fldChar w:fldCharType="separate"/>
      </w:r>
      <w:r>
        <w:rPr>
          <w:rStyle w:val="749"/>
          <w:rFonts w:hint="eastAsia" w:ascii="宋体" w:hAnsi="宋体" w:eastAsia="宋体" w:cs="宋体"/>
          <w:b/>
          <w:bCs/>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_Toc186493268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33"/>
        <w:rPr>
          <w:rFonts w:hint="eastAsia" w:ascii="宋体" w:hAnsi="宋体" w:eastAsia="宋体" w:cs="宋体"/>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"_Toc186493269" </w:instrText>
      </w:r>
      <w:r>
        <w:rPr>
          <w:rFonts w:hint="eastAsia" w:ascii="宋体" w:hAnsi="宋体" w:eastAsia="宋体" w:cs="宋体"/>
          <w:color w:val="auto"/>
          <w:highlight w:val="none"/>
        </w:rPr>
        <w:fldChar w:fldCharType="separate"/>
      </w:r>
      <w:r>
        <w:rPr>
          <w:rStyle w:val="749"/>
          <w:rFonts w:hint="eastAsia" w:ascii="宋体" w:hAnsi="宋体" w:eastAsia="宋体" w:cs="宋体"/>
          <w:b/>
          <w:color w:val="auto"/>
          <w:highlight w:val="none"/>
        </w:rPr>
        <w:t xml:space="preserve">第三章 </w:t>
      </w:r>
      <w:r>
        <w:rPr>
          <w:rStyle w:val="749"/>
          <w:rFonts w:hint="eastAsia" w:cs="宋体"/>
          <w:b/>
          <w:color w:val="auto"/>
          <w:highlight w:val="none"/>
          <w:lang w:val="en-US" w:eastAsia="zh-CN"/>
        </w:rPr>
        <w:t xml:space="preserve"> </w:t>
      </w:r>
      <w:r>
        <w:rPr>
          <w:rStyle w:val="749"/>
          <w:rFonts w:hint="eastAsia" w:ascii="宋体" w:hAnsi="宋体" w:eastAsia="宋体" w:cs="宋体"/>
          <w:b/>
          <w:color w:val="auto"/>
          <w:highlight w:val="none"/>
        </w:rPr>
        <w:t xml:space="preserve">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_Toc186493269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33"/>
        <w:rPr>
          <w:rFonts w:hint="eastAsia" w:ascii="宋体" w:hAnsi="宋体" w:eastAsia="宋体" w:cs="宋体"/>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"_Toc186493270" </w:instrText>
      </w:r>
      <w:r>
        <w:rPr>
          <w:rFonts w:hint="eastAsia" w:ascii="宋体" w:hAnsi="宋体" w:eastAsia="宋体" w:cs="宋体"/>
          <w:color w:val="auto"/>
          <w:highlight w:val="none"/>
        </w:rPr>
        <w:fldChar w:fldCharType="separate"/>
      </w:r>
      <w:r>
        <w:rPr>
          <w:rStyle w:val="749"/>
          <w:rFonts w:hint="eastAsia" w:ascii="宋体" w:hAnsi="宋体" w:eastAsia="宋体" w:cs="宋体"/>
          <w:b/>
          <w:color w:val="auto"/>
          <w:highlight w:val="none"/>
        </w:rPr>
        <w:t xml:space="preserve">第四章  评标方</w:t>
      </w:r>
      <w:r>
        <w:rPr>
          <w:rStyle w:val="749"/>
          <w:rFonts w:hint="eastAsia" w:ascii="宋体" w:hAnsi="宋体" w:eastAsia="宋体" w:cs="宋体"/>
          <w:b/>
          <w:bCs/>
          <w:color w:val="auto"/>
          <w:highlight w:val="none"/>
        </w:rPr>
        <w:t xml:space="preserve">法与评标标准</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fldChar w:fldCharType="end"/>
      </w:r>
      <w:r>
        <w:rPr>
          <w:rFonts w:hint="eastAsia" w:ascii="宋体" w:hAnsi="宋体" w:eastAsia="宋体" w:cs="宋体"/>
          <w:color w:val="auto"/>
          <w:highlight w:val="none"/>
          <w:lang w:val="en-US" w:eastAsia="zh-CN"/>
        </w:rPr>
        <w:t xml:space="preserve">1</w:t>
      </w:r>
      <w:r/>
    </w:p>
    <w:p>
      <w:pPr>
        <w:pStyle w:val="733"/>
        <w:rPr>
          <w:rFonts w:hint="eastAsia" w:ascii="宋体" w:hAnsi="宋体" w:eastAsia="宋体" w:cs="宋体"/>
          <w:color w:val="auto"/>
          <w:highlight w:val="none"/>
          <w:lang w:val="en-US" w:eastAsia="zh-CN"/>
        </w:rPr>
      </w:pPr>
      <w:r>
        <w:rPr>
          <w:rStyle w:val="749"/>
          <w:rFonts w:hint="eastAsia" w:ascii="宋体" w:hAnsi="宋体" w:eastAsia="宋体" w:cs="宋体"/>
          <w:b/>
          <w:bCs/>
          <w:color w:val="auto"/>
          <w:highlight w:val="none"/>
          <w:u w:val="none"/>
          <w:lang w:val="en-US" w:eastAsia="zh-CN"/>
        </w:rPr>
        <w:t xml:space="preserve">第五章  合同文本格式</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27</w:t>
      </w:r>
      <w:r/>
    </w:p>
    <w:p>
      <w:pPr>
        <w:pStyle w:val="733"/>
        <w:rPr>
          <w:rFonts w:hint="eastAsia" w:ascii="宋体" w:hAnsi="宋体" w:eastAsia="宋体" w:cs="宋体"/>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"_Toc186493271" </w:instrText>
      </w:r>
      <w:r>
        <w:rPr>
          <w:rFonts w:hint="eastAsia" w:ascii="宋体" w:hAnsi="宋体" w:eastAsia="宋体" w:cs="宋体"/>
          <w:color w:val="auto"/>
          <w:highlight w:val="none"/>
        </w:rPr>
        <w:fldChar w:fldCharType="separate"/>
      </w:r>
      <w:r>
        <w:rPr>
          <w:rStyle w:val="749"/>
          <w:rFonts w:hint="eastAsia" w:ascii="宋体" w:hAnsi="宋体" w:eastAsia="宋体" w:cs="宋体"/>
          <w:b/>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_Toc186493271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9"/>
        <w:rPr>
          <w:rFonts w:hint="eastAsia" w:ascii="宋体" w:hAnsi="宋体" w:eastAsia="宋体" w:cs="宋体"/>
          <w:b/>
          <w:bCs/>
          <w:color w:val="auto"/>
          <w:sz w:val="44"/>
          <w:szCs w:val="44"/>
          <w:highlight w:val="none"/>
        </w:rPr>
        <w:sectPr>
          <w:footerReference w:type="default" r:id="rId10"/>
          <w:footnotePr/>
          <w:endnotePr/>
          <w:type w:val="nextPage"/>
          <w:pgSz w:w="11906" w:h="16838" w:orient="portrait"/>
          <w:pgMar w:top="1418" w:right="1588" w:bottom="1418" w:left="1365" w:header="851" w:footer="907" w:gutter="0"/>
          <w:pgNumType w:start="1"/>
          <w:cols w:num="1" w:sep="0" w:space="720" w:equalWidth="1"/>
          <w:docGrid w:linePitch="360"/>
        </w:sectPr>
      </w:pPr>
      <w:r>
        <w:rPr>
          <w:rFonts w:hint="eastAsia" w:ascii="宋体" w:hAnsi="宋体" w:eastAsia="宋体" w:cs="宋体"/>
          <w:b/>
          <w:bCs/>
          <w:color w:val="auto"/>
          <w:sz w:val="44"/>
          <w:szCs w:val="44"/>
          <w:highlight w:val="none"/>
        </w:rPr>
      </w:r>
      <w:r/>
    </w:p>
    <w:p>
      <w:pPr>
        <w:pStyle w:val="709"/>
        <w:keepLines w:val="0"/>
        <w:pageBreakBefore w:val="0"/>
        <w:spacing w:line="360" w:lineRule="auto"/>
        <w:widowControl w:val="off"/>
        <w:rPr>
          <w:rFonts w:hint="eastAsia" w:ascii="宋体" w:hAnsi="宋体" w:eastAsia="宋体" w:cs="宋体"/>
          <w:b/>
          <w:bCs/>
          <w:color w:val="auto"/>
          <w:sz w:val="44"/>
          <w:szCs w:val="44"/>
          <w:highlight w:val="none"/>
        </w:rPr>
      </w:pPr>
      <w:r/>
      <w:bookmarkStart w:id="6" w:name="_Toc186493267"/>
      <w:r>
        <w:rPr>
          <w:rFonts w:hint="eastAsia" w:ascii="宋体" w:hAnsi="宋体" w:eastAsia="宋体" w:cs="宋体"/>
          <w:b/>
          <w:bCs/>
          <w:color w:val="auto"/>
          <w:sz w:val="44"/>
          <w:szCs w:val="44"/>
          <w:highlight w:val="none"/>
        </w:rPr>
        <w:t xml:space="preserve">第一章  </w:t>
      </w:r>
      <w:bookmarkEnd w:id="0"/>
      <w:r>
        <w:rPr>
          <w:rFonts w:hint="eastAsia" w:ascii="宋体" w:hAnsi="宋体" w:eastAsia="宋体" w:cs="宋体"/>
          <w:b/>
          <w:bCs/>
          <w:color w:val="auto"/>
          <w:sz w:val="44"/>
          <w:szCs w:val="44"/>
          <w:highlight w:val="none"/>
        </w:rPr>
        <w:t xml:space="preserve">投标邀请</w:t>
      </w:r>
      <w:bookmarkEnd w:id="6"/>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如东县洋口镇人民政府</w:t>
      </w:r>
      <w:r>
        <w:rPr>
          <w:rFonts w:hint="eastAsia" w:ascii="宋体" w:hAnsi="宋体" w:eastAsia="宋体" w:cs="宋体"/>
          <w:color w:val="auto"/>
          <w:sz w:val="24"/>
          <w:szCs w:val="24"/>
          <w:highlight w:val="none"/>
        </w:rPr>
        <w:t xml:space="preserve">的委托，就</w:t>
      </w:r>
      <w:r>
        <w:rPr>
          <w:rFonts w:hint="eastAsia" w:ascii="宋体" w:hAnsi="宋体" w:cs="宋体"/>
          <w:color w:val="auto"/>
          <w:sz w:val="24"/>
          <w:szCs w:val="24"/>
          <w:highlight w:val="none"/>
          <w:lang w:eastAsia="zh-CN"/>
        </w:rPr>
        <w:t xml:space="preserve">园区地质灾害危险性区域评估项目</w:t>
      </w:r>
      <w:r>
        <w:rPr>
          <w:rFonts w:hint="eastAsia" w:ascii="宋体" w:hAnsi="宋体" w:eastAsia="宋体" w:cs="宋体"/>
          <w:color w:val="auto"/>
          <w:sz w:val="24"/>
          <w:szCs w:val="24"/>
          <w:highlight w:val="none"/>
        </w:rPr>
        <w:t xml:space="preserve">进行公开招标采购，欢迎符合条件的供应商投标。</w:t>
      </w:r>
      <w:r/>
    </w:p>
    <w:p>
      <w:pPr>
        <w:keepLines w:val="0"/>
        <w:pageBreakBefore w:val="0"/>
        <w:spacing w:line="360" w:lineRule="auto"/>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keepLines w:val="0"/>
        <w:pageBreakBefore w:val="0"/>
        <w:spacing w:line="360" w:lineRule="auto"/>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lang w:eastAsia="zh-CN"/>
        </w:rPr>
        <w:t xml:space="preserve">园区地质灾害危险性区域评估项目</w:t>
      </w:r>
      <w:r>
        <w:rPr>
          <w:rFonts w:hint="eastAsia" w:ascii="宋体" w:hAnsi="宋体" w:eastAsia="宋体" w:cs="宋体"/>
          <w:color w:val="auto"/>
          <w:sz w:val="24"/>
          <w:szCs w:val="24"/>
          <w:highlight w:val="none"/>
        </w:rPr>
        <w:t xml:space="preserve">招标的潜在投标人可在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1月14日</w:t>
      </w:r>
      <w:r>
        <w:rPr>
          <w:rFonts w:hint="eastAsia" w:ascii="宋体" w:hAnsi="宋体" w:eastAsia="宋体" w:cs="宋体"/>
          <w:bCs/>
          <w:color w:val="auto"/>
          <w:sz w:val="24"/>
          <w:szCs w:val="24"/>
          <w:highlight w:val="none"/>
          <w:u w:val="single"/>
        </w:rPr>
        <w:t xml:space="preserve">上午</w:t>
      </w: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keepLines w:val="0"/>
        <w:pageBreakBefore w:val="0"/>
        <w:spacing w:line="360" w:lineRule="auto"/>
        <w:widowControl w:val="off"/>
        <w:rPr>
          <w:rFonts w:hint="eastAsia" w:ascii="宋体" w:hAnsi="宋体" w:eastAsia="宋体" w:cs="宋体"/>
          <w:b/>
          <w:bCs/>
          <w:color w:val="auto"/>
          <w:sz w:val="32"/>
          <w:szCs w:val="32"/>
          <w:highlight w:val="none"/>
        </w:rPr>
      </w:pPr>
      <w:r/>
      <w:bookmarkStart w:id="7" w:name="_Toc28359002"/>
      <w:r/>
      <w:bookmarkStart w:id="8" w:name="_Toc38985263"/>
      <w:r/>
      <w:bookmarkStart w:id="9" w:name="_Toc28359079"/>
      <w:r/>
      <w:bookmarkStart w:id="10" w:name="_Toc35393621"/>
      <w:r/>
      <w:bookmarkStart w:id="11" w:name="_Toc35393790"/>
      <w:r/>
      <w:bookmarkStart w:id="12" w:name="_Hlk24379207"/>
      <w:r>
        <w:rPr>
          <w:rFonts w:hint="eastAsia" w:ascii="宋体" w:hAnsi="宋体" w:eastAsia="宋体" w:cs="宋体"/>
          <w:b/>
          <w:bCs/>
          <w:color w:val="auto"/>
          <w:sz w:val="32"/>
          <w:szCs w:val="32"/>
          <w:highlight w:val="none"/>
        </w:rPr>
        <w:t xml:space="preserve">一、项目基本情况</w:t>
      </w:r>
      <w:bookmarkEnd w:id="7"/>
      <w:r/>
      <w:bookmarkEnd w:id="8"/>
      <w:r/>
      <w:bookmarkEnd w:id="9"/>
      <w:r/>
      <w:bookmarkEnd w:id="10"/>
      <w:r/>
      <w:bookmarkEnd w:id="11"/>
      <w:r/>
      <w:r/>
    </w:p>
    <w:p>
      <w:pPr>
        <w:ind w:firstLine="480"/>
        <w:keepLines w:val="0"/>
        <w:pageBreakBefore w:val="0"/>
        <w:spacing w:line="360" w:lineRule="auto"/>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rPr>
        <w:t xml:space="preserve">1.项目编号：JSZC-320623-NTCJ-G2025-0045</w:t>
      </w:r>
      <w:r/>
    </w:p>
    <w:p>
      <w:pPr>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2"/>
      <w:r>
        <w:rPr>
          <w:rFonts w:hint="eastAsia" w:ascii="宋体" w:hAnsi="宋体" w:cs="宋体"/>
          <w:color w:val="auto"/>
          <w:sz w:val="24"/>
          <w:szCs w:val="24"/>
          <w:highlight w:val="none"/>
          <w:lang w:eastAsia="zh-CN"/>
        </w:rPr>
        <w:t xml:space="preserve">园区地质灾害危险性区域评估项目</w:t>
      </w:r>
      <w:r/>
    </w:p>
    <w:p>
      <w:pPr>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3.采购方式：公开招标</w:t>
      </w:r>
      <w:r/>
    </w:p>
    <w:p>
      <w:pPr>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4.项目类型：服务</w:t>
      </w:r>
      <w:r/>
    </w:p>
    <w:p>
      <w:pPr>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5.所属行业：其他未列明行业</w:t>
      </w:r>
      <w:r/>
    </w:p>
    <w:p>
      <w:pPr>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6.预算金额（人民币）：</w:t>
      </w:r>
      <w:r>
        <w:rPr>
          <w:rFonts w:hint="eastAsia" w:ascii="宋体" w:hAnsi="宋体" w:cs="宋体"/>
          <w:color w:val="auto"/>
          <w:sz w:val="24"/>
          <w:szCs w:val="24"/>
          <w:highlight w:val="none"/>
          <w:lang w:val="en-US" w:eastAsia="zh-CN"/>
        </w:rPr>
        <w:t xml:space="preserve">120万元</w:t>
      </w:r>
      <w:r>
        <w:rPr>
          <w:rFonts w:hint="eastAsia" w:ascii="宋体" w:hAnsi="宋体" w:eastAsia="宋体" w:cs="宋体"/>
          <w:color w:val="auto"/>
          <w:sz w:val="24"/>
          <w:szCs w:val="24"/>
          <w:highlight w:val="none"/>
          <w:lang w:val="en-US" w:eastAsia="zh-CN"/>
        </w:rPr>
        <w:t xml:space="preserve">。</w:t>
      </w:r>
      <w:r/>
    </w:p>
    <w:p>
      <w:pPr>
        <w:ind w:firstLine="720"/>
        <w:keepLines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120万元</w:t>
      </w:r>
      <w:r>
        <w:rPr>
          <w:rFonts w:hint="eastAsia" w:ascii="宋体" w:hAnsi="宋体" w:eastAsia="宋体" w:cs="宋体"/>
          <w:color w:val="auto"/>
          <w:sz w:val="24"/>
          <w:szCs w:val="24"/>
          <w:highlight w:val="none"/>
          <w:lang w:val="en-US" w:eastAsia="zh-CN"/>
        </w:rPr>
        <w:t xml:space="preserve">。</w:t>
      </w:r>
      <w:r/>
    </w:p>
    <w:p>
      <w:pPr>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7.采购需求（简介）：详细内容见本招标文件第三章</w:t>
      </w:r>
      <w:r>
        <w:rPr>
          <w:rFonts w:hint="eastAsia" w:ascii="宋体" w:hAnsi="宋体" w:eastAsia="宋体" w:cs="宋体"/>
          <w:color w:val="auto"/>
          <w:sz w:val="24"/>
          <w:szCs w:val="24"/>
          <w:highlight w:val="none"/>
          <w:lang w:eastAsia="zh-CN"/>
        </w:rPr>
        <w:t xml:space="preserve">。</w:t>
      </w:r>
      <w:r/>
    </w:p>
    <w:p>
      <w:pPr>
        <w:ind w:firstLine="480"/>
        <w:keepLines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8.合同履行期限</w:t>
      </w:r>
      <w:r>
        <w:rPr>
          <w:rFonts w:hint="eastAsia" w:ascii="宋体" w:hAnsi="宋体" w:eastAsia="宋体" w:cs="宋体"/>
          <w:color w:val="auto"/>
          <w:sz w:val="24"/>
          <w:szCs w:val="24"/>
          <w:highlight w:val="none"/>
          <w:lang w:val="en-US" w:eastAsia="zh-CN"/>
        </w:rPr>
        <w:t xml:space="preserve">:2026年2月28日前提交评估报告并通过专家评审。</w:t>
      </w:r>
      <w:r/>
    </w:p>
    <w:p>
      <w:pPr>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9.本项目（是/否）接受联合体投标：</w:t>
      </w:r>
      <w:r>
        <w:rPr>
          <w:rFonts w:hint="eastAsia" w:ascii="宋体" w:hAnsi="宋体" w:eastAsia="宋体" w:cs="宋体"/>
          <w:color w:val="auto"/>
          <w:sz w:val="24"/>
          <w:szCs w:val="24"/>
          <w:highlight w:val="none"/>
          <w:lang w:val="en-US" w:eastAsia="zh-CN"/>
        </w:rPr>
        <w:t xml:space="preserve">否。</w:t>
      </w:r>
      <w:r/>
    </w:p>
    <w:p>
      <w:pPr>
        <w:keepLines w:val="0"/>
        <w:pageBreakBefore w:val="0"/>
        <w:spacing w:line="360" w:lineRule="auto"/>
        <w:widowControl w:val="off"/>
        <w:rPr>
          <w:rFonts w:hint="eastAsia" w:ascii="宋体" w:hAnsi="宋体" w:eastAsia="宋体" w:cs="宋体"/>
          <w:b/>
          <w:bCs/>
          <w:color w:val="auto"/>
          <w:sz w:val="32"/>
          <w:szCs w:val="32"/>
          <w:highlight w:val="none"/>
        </w:rPr>
      </w:pPr>
      <w:r/>
      <w:bookmarkStart w:id="13" w:name="_Toc28359080"/>
      <w:r/>
      <w:bookmarkStart w:id="14" w:name="_Toc35393622"/>
      <w:r/>
      <w:bookmarkStart w:id="15" w:name="_Toc35393791"/>
      <w:r/>
      <w:bookmarkStart w:id="16" w:name="_Toc38985264"/>
      <w:r/>
      <w:bookmarkStart w:id="17" w:name="_Toc28359003"/>
      <w:r>
        <w:rPr>
          <w:rFonts w:hint="eastAsia" w:ascii="宋体" w:hAnsi="宋体" w:eastAsia="宋体" w:cs="宋体"/>
          <w:b/>
          <w:bCs/>
          <w:color w:val="auto"/>
          <w:sz w:val="32"/>
          <w:szCs w:val="32"/>
          <w:highlight w:val="none"/>
        </w:rPr>
        <w:t xml:space="preserve">二、申请人的资格要求：</w:t>
      </w:r>
      <w:bookmarkEnd w:id="13"/>
      <w:r/>
      <w:bookmarkEnd w:id="14"/>
      <w:r/>
      <w:bookmarkEnd w:id="15"/>
      <w:r/>
      <w:bookmarkEnd w:id="16"/>
      <w:r/>
      <w:bookmarkEnd w:id="17"/>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bookmarkStart w:id="18" w:name="_Toc28359081"/>
      <w:r/>
      <w:bookmarkStart w:id="19" w:name="_Toc35393623"/>
      <w:r/>
      <w:bookmarkStart w:id="20" w:name="_Toc35393792"/>
      <w:r/>
      <w:bookmarkStart w:id="21" w:name="_Toc28359004"/>
      <w:r/>
      <w:bookmarkStart w:id="22" w:name="_Toc38985265"/>
      <w:r>
        <w:rPr>
          <w:rFonts w:hint="eastAsia" w:ascii="宋体" w:hAnsi="宋体" w:eastAsia="宋体" w:cs="宋体"/>
          <w:color w:val="auto"/>
          <w:sz w:val="24"/>
          <w:szCs w:val="24"/>
          <w:highlight w:val="none"/>
        </w:rPr>
        <w:t xml:space="preserve">（一）通用资格要求</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1.满足《中华人民共和国政府采购法》第二十二条规定；（按附件3格式进行声明，投标文件中无需提供其他证明材料）；</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落实政府采购政策需满足的资格要求：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widowControl w:val="off"/>
        <w:rPr>
          <w:rFonts w:hint="eastAsia" w:ascii="宋体" w:hAnsi="宋体" w:eastAsia="宋体" w:cs="宋体"/>
          <w:i w:val="0"/>
          <w:iCs w:val="0"/>
          <w:caps w:val="0"/>
          <w:spacing w:val="0"/>
          <w:sz w:val="24"/>
          <w:szCs w:val="24"/>
          <w:shd w:val="clear" w:color="auto" w:fill="ffffff"/>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本项目的特定资格要求：</w:t>
      </w:r>
      <w:r>
        <w:rPr>
          <w:rFonts w:hint="eastAsia" w:ascii="宋体" w:hAnsi="宋体" w:eastAsia="宋体" w:cs="宋体"/>
          <w:i w:val="0"/>
          <w:iCs w:val="0"/>
          <w:caps w:val="0"/>
          <w:spacing w:val="0"/>
          <w:sz w:val="24"/>
          <w:szCs w:val="24"/>
          <w:shd w:val="clear" w:color="auto" w:fill="ffffff"/>
        </w:rPr>
        <w:t xml:space="preserve">具有独立承担民事责任的能力，持有效营业执照，且具有地质灾害危险性评估甲级资质</w:t>
      </w:r>
      <w:r>
        <w:rPr>
          <w:rFonts w:hint="eastAsia" w:ascii="宋体" w:hAnsi="宋体" w:eastAsia="宋体" w:cs="宋体"/>
          <w:i w:val="0"/>
          <w:iCs w:val="0"/>
          <w:caps w:val="0"/>
          <w:spacing w:val="0"/>
          <w:sz w:val="24"/>
          <w:szCs w:val="24"/>
          <w:shd w:val="clear" w:color="auto" w:fill="ffffff"/>
          <w:lang w:val="en-US" w:eastAsia="zh-CN"/>
        </w:rPr>
        <w:t xml:space="preserve">或地质灾害评估和治理工程勘查设计甲级资质（证书均在有效期内）</w:t>
      </w:r>
      <w:r>
        <w:rPr>
          <w:rFonts w:hint="eastAsia" w:ascii="宋体" w:hAnsi="宋体" w:cs="宋体"/>
          <w:i w:val="0"/>
          <w:iCs w:val="0"/>
          <w:caps w:val="0"/>
          <w:spacing w:val="0"/>
          <w:sz w:val="24"/>
          <w:szCs w:val="24"/>
          <w:shd w:val="clear" w:color="auto" w:fill="ffffff"/>
          <w:lang w:val="en-US" w:eastAsia="zh-CN"/>
        </w:rPr>
        <w:t xml:space="preserve">。</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w:t>
      </w:r>
      <w:bookmarkEnd w:id="18"/>
      <w:r/>
      <w:bookmarkEnd w:id="19"/>
      <w:r/>
      <w:bookmarkEnd w:id="20"/>
      <w:r/>
      <w:bookmarkEnd w:id="21"/>
      <w:r/>
      <w:bookmarkEnd w:id="22"/>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bookmarkStart w:id="23" w:name="_Toc28359005"/>
      <w:r/>
      <w:bookmarkStart w:id="24" w:name="_Toc28359082"/>
      <w:r/>
      <w:bookmarkStart w:id="25" w:name="_Toc38985266"/>
      <w:r/>
      <w:bookmarkStart w:id="26" w:name="_Toc35393793"/>
      <w:r/>
      <w:bookmarkStart w:id="27"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highlight w:val="none"/>
        </w:rPr>
        <w:t xml:space="preserve">自采购公告发布之日</w:t>
      </w:r>
      <w:r>
        <w:rPr>
          <w:rFonts w:hint="eastAsia" w:ascii="宋体" w:hAnsi="宋体" w:eastAsia="宋体" w:cs="宋体"/>
          <w:color w:val="auto"/>
          <w:sz w:val="24"/>
          <w:szCs w:val="24"/>
          <w:highlight w:val="none"/>
        </w:rPr>
        <w:t xml:space="preserve">至</w:t>
      </w:r>
      <w:r>
        <w:rPr>
          <w:rFonts w:hint="eastAsia" w:ascii="宋体" w:hAnsi="宋体" w:eastAsia="宋体" w:cs="宋体"/>
          <w:color w:val="auto"/>
          <w:sz w:val="24"/>
          <w:szCs w:val="24"/>
          <w:highlight w:val="none"/>
          <w:u w:val="none"/>
        </w:rPr>
        <w:t xml:space="preserve">202</w:t>
      </w:r>
      <w:r>
        <w:rPr>
          <w:rFonts w:hint="eastAsia" w:ascii="宋体" w:hAnsi="宋体" w:cs="宋体"/>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u w:val="none"/>
        </w:rPr>
        <w:t xml:space="preserve">年</w:t>
      </w:r>
      <w:r>
        <w:rPr>
          <w:rFonts w:hint="eastAsia" w:ascii="宋体" w:hAnsi="宋体" w:cs="宋体"/>
          <w:bCs/>
          <w:color w:val="auto"/>
          <w:sz w:val="24"/>
          <w:szCs w:val="24"/>
          <w:highlight w:val="none"/>
          <w:u w:val="none"/>
          <w:lang w:val="en-US" w:eastAsia="zh-CN"/>
        </w:rPr>
        <w:t xml:space="preserve">1月14日</w:t>
      </w:r>
      <w:r>
        <w:rPr>
          <w:rFonts w:hint="eastAsia" w:ascii="宋体" w:hAnsi="宋体" w:eastAsia="宋体" w:cs="宋体"/>
          <w:color w:val="auto"/>
          <w:sz w:val="24"/>
          <w:szCs w:val="24"/>
          <w:highlight w:val="none"/>
        </w:rPr>
        <w:t xml:space="preserve">（北京时间）</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2.地点：“江苏政府采购网”</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3.方式：凡有意参与投标的供应商须登录江苏政府采购网首页点击“苏采云”→通过CA锁进行响应确认，并自行在磋商文件有效获取期内及时下载获取。</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w:t>
      </w:r>
      <w:r/>
    </w:p>
    <w:p>
      <w:pPr>
        <w:keepLines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四、提交投标文件</w:t>
      </w:r>
      <w:bookmarkEnd w:id="23"/>
      <w:r/>
      <w:bookmarkEnd w:id="24"/>
      <w:r>
        <w:rPr>
          <w:rFonts w:hint="eastAsia" w:ascii="宋体" w:hAnsi="宋体" w:eastAsia="宋体" w:cs="宋体"/>
          <w:b/>
          <w:bCs/>
          <w:color w:val="auto"/>
          <w:sz w:val="32"/>
          <w:szCs w:val="32"/>
          <w:highlight w:val="none"/>
        </w:rPr>
        <w:t xml:space="preserve">截止时间、开标时间和地点</w:t>
      </w:r>
      <w:bookmarkEnd w:id="25"/>
      <w:r/>
      <w:bookmarkEnd w:id="26"/>
      <w:r/>
      <w:bookmarkEnd w:id="27"/>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bookmarkStart w:id="28" w:name="_Toc35393794"/>
      <w:r/>
      <w:bookmarkStart w:id="29" w:name="_Toc28359007"/>
      <w:r/>
      <w:bookmarkStart w:id="30" w:name="_Toc38985267"/>
      <w:r/>
      <w:bookmarkStart w:id="31" w:name="_Toc28359084"/>
      <w:r/>
      <w:bookmarkStart w:id="32" w:name="_Toc35393625"/>
      <w:r>
        <w:rPr>
          <w:rFonts w:hint="eastAsia" w:ascii="宋体" w:hAnsi="宋体" w:eastAsia="宋体" w:cs="宋体"/>
          <w:bCs/>
          <w:color w:val="auto"/>
          <w:sz w:val="24"/>
          <w:szCs w:val="24"/>
          <w:highlight w:val="none"/>
        </w:rPr>
        <w:t xml:space="preserve">1.提交投标文件截止时间、开标时间：</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1月14日</w:t>
      </w:r>
      <w:r>
        <w:rPr>
          <w:rFonts w:hint="eastAsia" w:ascii="宋体" w:hAnsi="宋体" w:eastAsia="宋体" w:cs="宋体"/>
          <w:bCs/>
          <w:color w:val="auto"/>
          <w:sz w:val="24"/>
          <w:szCs w:val="24"/>
          <w:highlight w:val="none"/>
          <w:u w:val="single"/>
        </w:rPr>
        <w:t xml:space="preserve">上午</w:t>
      </w: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（北京时间），逾时，系统将拒绝接受上传投标文件电子文档。</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2.地点：“苏采云”政府采购一体化平台。</w:t>
      </w:r>
      <w:r/>
    </w:p>
    <w:p>
      <w:pPr>
        <w:keepLines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五、公告期限</w:t>
      </w:r>
      <w:bookmarkEnd w:id="28"/>
      <w:r/>
      <w:bookmarkEnd w:id="29"/>
      <w:r/>
      <w:bookmarkEnd w:id="30"/>
      <w:r/>
      <w:bookmarkEnd w:id="31"/>
      <w:r/>
      <w:bookmarkEnd w:id="32"/>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bookmarkStart w:id="33" w:name="_Toc35393795"/>
      <w:r/>
      <w:bookmarkStart w:id="34" w:name="_Toc38985268"/>
      <w:r/>
      <w:bookmarkStart w:id="35" w:name="_Toc35393626"/>
      <w:r>
        <w:rPr>
          <w:rFonts w:hint="eastAsia" w:ascii="宋体" w:hAnsi="宋体" w:eastAsia="宋体" w:cs="宋体"/>
          <w:color w:val="auto"/>
          <w:sz w:val="24"/>
          <w:szCs w:val="24"/>
          <w:highlight w:val="none"/>
        </w:rPr>
        <w:t xml:space="preserve">自本公告发布之日起5个工作日。</w:t>
      </w:r>
      <w:r/>
    </w:p>
    <w:p>
      <w:pPr>
        <w:keepLines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六、其他补充事宜</w:t>
      </w:r>
      <w:bookmarkEnd w:id="33"/>
      <w:r/>
      <w:bookmarkEnd w:id="34"/>
      <w:r/>
      <w:bookmarkEnd w:id="35"/>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1.项目开标活动模式：不见面远程开标模式</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含潜在投标人）对采购方式、招标文件中项目需求、供应商资格条件、评标方法和评标标准、资格审查部分、合同文本等应当由采购人答复的质疑，请向采购人提出，由采购人负责答复。投标人对其他事项的质疑，请向代理机构提出，由代理机构负责答复。对在“苏采云”系统操作阶段的询问请向交易系统软件维护人员提出。</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4.开标当天投标人应及时登录“苏采云</w:t>
      </w:r>
      <w:r>
        <w:rPr>
          <w:rFonts w:hint="eastAsia" w:ascii="宋体" w:hAnsi="宋体" w:eastAsia="宋体" w:cs="宋体"/>
          <w:color w:val="auto"/>
          <w:sz w:val="24"/>
          <w:szCs w:val="24"/>
          <w:highlight w:val="none"/>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keepLines w:val="0"/>
        <w:pageBreakBefore w:val="0"/>
        <w:spacing w:line="360" w:lineRule="auto"/>
        <w:widowControl w:val="off"/>
        <w:rPr>
          <w:rFonts w:hint="eastAsia" w:ascii="宋体" w:hAnsi="宋体" w:eastAsia="宋体" w:cs="宋体"/>
          <w:b/>
          <w:bCs/>
          <w:color w:val="auto"/>
          <w:sz w:val="32"/>
          <w:szCs w:val="32"/>
          <w:highlight w:val="none"/>
        </w:rPr>
      </w:pPr>
      <w:r/>
      <w:bookmarkStart w:id="36" w:name="_Toc35393796"/>
      <w:r/>
      <w:bookmarkStart w:id="37" w:name="_Toc35393627"/>
      <w:r/>
      <w:bookmarkStart w:id="38" w:name="_Toc28359085"/>
      <w:r/>
      <w:bookmarkStart w:id="39" w:name="_Toc28359008"/>
      <w:r/>
      <w:bookmarkStart w:id="40" w:name="_Toc38985269"/>
      <w:r>
        <w:rPr>
          <w:rFonts w:hint="eastAsia" w:ascii="宋体" w:hAnsi="宋体" w:eastAsia="宋体" w:cs="宋体"/>
          <w:b/>
          <w:bCs/>
          <w:color w:val="auto"/>
          <w:sz w:val="32"/>
          <w:szCs w:val="32"/>
          <w:highlight w:val="none"/>
        </w:rPr>
        <w:t xml:space="preserve">七、</w:t>
      </w:r>
      <w:bookmarkEnd w:id="36"/>
      <w:r/>
      <w:bookmarkEnd w:id="37"/>
      <w:r/>
      <w:bookmarkEnd w:id="38"/>
      <w:r/>
      <w:bookmarkEnd w:id="39"/>
      <w:r/>
      <w:bookmarkEnd w:id="40"/>
      <w:r>
        <w:rPr>
          <w:rFonts w:hint="eastAsia" w:ascii="宋体" w:hAnsi="宋体" w:eastAsia="宋体" w:cs="宋体"/>
          <w:b/>
          <w:bCs/>
          <w:color w:val="auto"/>
          <w:sz w:val="32"/>
          <w:szCs w:val="32"/>
          <w:highlight w:val="none"/>
        </w:rPr>
        <w:t xml:space="preserve">对本次招标提出询问，请按以下方式联系</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如东县洋口镇人民政府</w:t>
      </w:r>
      <w:r/>
    </w:p>
    <w:p>
      <w:pPr>
        <w:ind w:firstLine="480"/>
        <w:keepLines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如东县洋口镇</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联系人：缪晓伟                      </w:t>
      </w:r>
      <w:r/>
    </w:p>
    <w:p>
      <w:pPr>
        <w:ind w:firstLine="480"/>
        <w:keepLines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联系方式：13862473570</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南通城建工程项目管理有限公司</w:t>
      </w:r>
      <w:r/>
    </w:p>
    <w:p>
      <w:pPr>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址：如东县</w:t>
      </w:r>
      <w:r>
        <w:rPr>
          <w:rFonts w:hint="eastAsia" w:ascii="宋体" w:hAnsi="宋体" w:eastAsia="宋体" w:cs="宋体"/>
          <w:color w:val="auto"/>
          <w:sz w:val="24"/>
          <w:szCs w:val="24"/>
          <w:highlight w:val="none"/>
          <w:lang w:val="en-US" w:eastAsia="zh-CN"/>
        </w:rPr>
        <w:t xml:space="preserve">掘港镇</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联系方式：18362183350</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项目联系人：缪晓伟</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联系方式：13862473570</w:t>
      </w:r>
      <w:r/>
    </w:p>
    <w:p>
      <w:pPr>
        <w:keepLines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八、其他</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根据省财政厅《关于更换全省政府采购交易系统CA数字证书和电子签章的通知》（苏财购〔2023〕</w:t>
      </w:r>
      <w:r>
        <w:rPr>
          <w:rFonts w:hint="eastAsia" w:ascii="宋体" w:hAnsi="宋体" w:eastAsia="宋体" w:cs="宋体"/>
          <w:color w:val="auto"/>
          <w:sz w:val="24"/>
          <w:szCs w:val="24"/>
          <w:highlight w:val="none"/>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领取CA和办理电子签章请至南通市政务服务中心裙楼四楼CA办理窗口办理，详见《江苏省政府采购数字证书(供应商)CA及电子签章办理指南》），请及时进行注册并按要求制作、上传电子投标文件。</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2.有关本次招标的事项若存在变动或修改，敬请及时关注如东县公共资源代理机构在“江苏政府采购网”发布的更正公告。</w:t>
      </w:r>
      <w:r/>
    </w:p>
    <w:p>
      <w:pPr>
        <w:ind w:firstLine="480"/>
        <w:keepLines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3.本次招标不收取投标保证金。</w:t>
      </w:r>
      <w:bookmarkStart w:id="41" w:name="_Toc120614211"/>
      <w:r/>
      <w:r/>
    </w:p>
    <w:p>
      <w:pPr>
        <w:ind w:right="840"/>
        <w:jc w:val="center"/>
        <w:rPr>
          <w:rFonts w:hint="eastAsia" w:ascii="宋体" w:hAnsi="宋体" w:eastAsia="宋体" w:cs="宋体"/>
          <w:b/>
          <w:bCs/>
          <w:color w:val="auto"/>
          <w:sz w:val="44"/>
          <w:szCs w:val="44"/>
          <w:highlight w:val="none"/>
          <w:lang w:val="en-US" w:eastAsia="zh-CN"/>
        </w:rPr>
        <w:outlineLvl w:val="0"/>
      </w:pPr>
      <w:r/>
      <w:bookmarkStart w:id="42" w:name="_Toc186493268"/>
      <w:r/>
      <w:r/>
    </w:p>
    <w:p>
      <w:pPr>
        <w:ind w:right="840"/>
        <w:jc w:val="center"/>
        <w:rPr>
          <w:rFonts w:hint="eastAsia" w:ascii="宋体" w:hAnsi="宋体" w:eastAsia="宋体" w:cs="宋体"/>
          <w:color w:val="auto"/>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1"/>
      <w:r/>
      <w:bookmarkStart w:id="43" w:name="_Toc20823274"/>
      <w:r/>
      <w:bookmarkStart w:id="44" w:name="_Toc120614213"/>
      <w:r/>
      <w:bookmarkStart w:id="45" w:name="_Toc513029202"/>
      <w:r/>
      <w:bookmarkStart w:id="46" w:name="_Toc16938518"/>
      <w:r>
        <w:rPr>
          <w:rFonts w:hint="eastAsia" w:ascii="宋体" w:hAnsi="宋体" w:eastAsia="宋体" w:cs="宋体"/>
          <w:b/>
          <w:bCs/>
          <w:color w:val="auto"/>
          <w:sz w:val="44"/>
          <w:szCs w:val="44"/>
          <w:highlight w:val="none"/>
        </w:rPr>
        <w:t xml:space="preserve">投标人须知</w:t>
      </w:r>
      <w:bookmarkEnd w:id="42"/>
      <w:r/>
      <w:bookmarkEnd w:id="43"/>
      <w:r/>
      <w:bookmarkEnd w:id="44"/>
      <w:r/>
      <w:bookmarkEnd w:id="45"/>
      <w:r/>
      <w:bookmarkEnd w:id="46"/>
      <w:r/>
      <w:r/>
    </w:p>
    <w:p>
      <w:pPr>
        <w:keepLines/>
        <w:keepNext/>
        <w:pageBreakBefore w:val="0"/>
        <w:spacing w:line="360" w:lineRule="auto"/>
        <w:rPr>
          <w:rFonts w:hint="eastAsia" w:ascii="宋体" w:hAnsi="宋体" w:eastAsia="宋体" w:cs="宋体"/>
          <w:b/>
          <w:bCs/>
          <w:color w:val="auto"/>
          <w:sz w:val="32"/>
          <w:szCs w:val="32"/>
          <w:highlight w:val="none"/>
        </w:rPr>
        <w:outlineLvl w:val="1"/>
      </w:pPr>
      <w:r/>
      <w:bookmarkStart w:id="47" w:name="_Toc16938519"/>
      <w:r/>
      <w:bookmarkStart w:id="48" w:name="_Toc20823275"/>
      <w:r/>
      <w:bookmarkStart w:id="49" w:name="_Toc513029203"/>
      <w:r/>
      <w:bookmarkStart w:id="50" w:name="_Toc120614214"/>
      <w:r>
        <w:rPr>
          <w:rFonts w:hint="eastAsia" w:ascii="宋体" w:hAnsi="宋体" w:eastAsia="宋体" w:cs="宋体"/>
          <w:b/>
          <w:bCs/>
          <w:color w:val="auto"/>
          <w:sz w:val="32"/>
          <w:szCs w:val="32"/>
          <w:highlight w:val="none"/>
        </w:rPr>
        <w:t xml:space="preserve">一、总则</w:t>
      </w:r>
      <w:bookmarkEnd w:id="47"/>
      <w:r/>
      <w:bookmarkEnd w:id="48"/>
      <w:r/>
      <w:bookmarkEnd w:id="49"/>
      <w:r/>
      <w:bookmarkEnd w:id="50"/>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51" w:name="_Hlt16619475"/>
      <w:r/>
      <w:bookmarkEnd w:id="51"/>
      <w:r/>
      <w:bookmarkStart w:id="52" w:name="_Toc458694821"/>
      <w:r/>
      <w:bookmarkStart w:id="53" w:name="_Toc513029204"/>
      <w:r/>
      <w:bookmarkStart w:id="54" w:name="_Toc20823276"/>
      <w:r/>
      <w:bookmarkStart w:id="55" w:name="_Toc16938520"/>
      <w:r>
        <w:rPr>
          <w:rFonts w:hint="eastAsia" w:ascii="宋体" w:hAnsi="宋体" w:eastAsia="宋体" w:cs="宋体"/>
          <w:b/>
          <w:bCs/>
          <w:color w:val="auto"/>
          <w:sz w:val="28"/>
          <w:szCs w:val="28"/>
          <w:highlight w:val="none"/>
        </w:rPr>
        <w:t xml:space="preserve">1</w:t>
      </w:r>
      <w:bookmarkEnd w:id="52"/>
      <w:r>
        <w:rPr>
          <w:rFonts w:hint="eastAsia" w:ascii="宋体" w:hAnsi="宋体" w:eastAsia="宋体" w:cs="宋体"/>
          <w:b/>
          <w:bCs/>
          <w:color w:val="auto"/>
          <w:sz w:val="28"/>
          <w:szCs w:val="28"/>
          <w:highlight w:val="none"/>
        </w:rPr>
        <w:t xml:space="preserve">、招标方式</w:t>
      </w:r>
      <w:bookmarkEnd w:id="53"/>
      <w:r/>
      <w:bookmarkEnd w:id="54"/>
      <w:r/>
      <w:bookmarkEnd w:id="55"/>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本次招标采取公开招标方式，本招标文件仅适用于招标公告中所述项目。</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56" w:name="_Toc513029205"/>
      <w:r/>
      <w:bookmarkStart w:id="57" w:name="_Toc16938521"/>
      <w:r/>
      <w:bookmarkStart w:id="58" w:name="_Toc20823277"/>
      <w:r>
        <w:rPr>
          <w:rFonts w:hint="eastAsia" w:ascii="宋体" w:hAnsi="宋体" w:eastAsia="宋体" w:cs="宋体"/>
          <w:b/>
          <w:bCs/>
          <w:color w:val="auto"/>
          <w:sz w:val="28"/>
          <w:szCs w:val="28"/>
          <w:highlight w:val="none"/>
        </w:rPr>
        <w:t xml:space="preserve">2、合格的投标人</w:t>
      </w:r>
      <w:bookmarkEnd w:id="56"/>
      <w:r/>
      <w:bookmarkEnd w:id="57"/>
      <w:r/>
      <w:bookmarkEnd w:id="58"/>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2.1满足招标公告中供应商的资格要求的规定。</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满足本文件实质性要求的规定。</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59" w:name="_Toc16938522"/>
      <w:r/>
      <w:bookmarkStart w:id="60" w:name="_Toc513029206"/>
      <w:r/>
      <w:bookmarkStart w:id="61" w:name="_Toc20823278"/>
      <w:r>
        <w:rPr>
          <w:rFonts w:hint="eastAsia" w:ascii="宋体" w:hAnsi="宋体" w:eastAsia="宋体" w:cs="宋体"/>
          <w:b/>
          <w:bCs/>
          <w:color w:val="auto"/>
          <w:sz w:val="28"/>
          <w:szCs w:val="28"/>
          <w:highlight w:val="none"/>
        </w:rPr>
        <w:t xml:space="preserve">3、适用法律</w:t>
      </w:r>
      <w:bookmarkEnd w:id="59"/>
      <w:r/>
      <w:bookmarkEnd w:id="60"/>
      <w:r/>
      <w:bookmarkEnd w:id="61"/>
      <w:r/>
      <w:r/>
    </w:p>
    <w:p>
      <w:pPr>
        <w:ind w:firstLine="42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ind w:firstLine="422"/>
        <w:keepLines/>
        <w:keepNext/>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4、招标文件的约束力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keepLines/>
        <w:keepNext/>
        <w:pageBreakBefore w:val="0"/>
        <w:spacing w:line="360" w:lineRule="auto"/>
        <w:rPr>
          <w:rFonts w:hint="eastAsia" w:ascii="宋体" w:hAnsi="宋体" w:eastAsia="宋体" w:cs="宋体"/>
          <w:b/>
          <w:bCs/>
          <w:color w:val="auto"/>
          <w:sz w:val="32"/>
          <w:szCs w:val="32"/>
          <w:highlight w:val="none"/>
        </w:rPr>
        <w:outlineLvl w:val="1"/>
      </w:pPr>
      <w:r/>
      <w:bookmarkStart w:id="62" w:name="_Toc120614215"/>
      <w:r/>
      <w:bookmarkStart w:id="63" w:name="_Toc513029209"/>
      <w:r/>
      <w:bookmarkStart w:id="64" w:name="_Toc20823281"/>
      <w:r/>
      <w:bookmarkStart w:id="65" w:name="_Toc16938525"/>
      <w:r>
        <w:rPr>
          <w:rFonts w:hint="eastAsia" w:ascii="宋体" w:hAnsi="宋体" w:eastAsia="宋体" w:cs="宋体"/>
          <w:b/>
          <w:bCs/>
          <w:color w:val="auto"/>
          <w:sz w:val="32"/>
          <w:szCs w:val="32"/>
          <w:highlight w:val="none"/>
        </w:rPr>
        <w:t xml:space="preserve">二、招标文件</w:t>
      </w:r>
      <w:bookmarkEnd w:id="62"/>
      <w:r/>
      <w:bookmarkEnd w:id="63"/>
      <w:r/>
      <w:bookmarkEnd w:id="64"/>
      <w:r/>
      <w:bookmarkEnd w:id="65"/>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66" w:name="_Toc16938526"/>
      <w:r/>
      <w:bookmarkStart w:id="67" w:name="_Toc20823282"/>
      <w:r/>
      <w:bookmarkStart w:id="68" w:name="_Toc513029210"/>
      <w:r>
        <w:rPr>
          <w:rFonts w:hint="eastAsia" w:ascii="宋体" w:hAnsi="宋体" w:eastAsia="宋体" w:cs="宋体"/>
          <w:b/>
          <w:bCs/>
          <w:color w:val="auto"/>
          <w:sz w:val="28"/>
          <w:szCs w:val="28"/>
          <w:highlight w:val="none"/>
        </w:rPr>
        <w:t xml:space="preserve">6、招标文件构成</w:t>
      </w:r>
      <w:bookmarkEnd w:id="66"/>
      <w:r/>
      <w:bookmarkEnd w:id="67"/>
      <w:r/>
      <w:bookmarkEnd w:id="68"/>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 招标文件由以下部分组成：</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（1）投标邀请</w:t>
      </w:r>
      <w:r/>
    </w:p>
    <w:p>
      <w:pPr>
        <w:ind w:firstLine="480"/>
        <w:pageBreakBefore w:val="0"/>
        <w:spacing w:line="360" w:lineRule="auto"/>
        <w:tabs>
          <w:tab w:val="center" w:pos="447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（2）投标人须知</w:t>
      </w:r>
      <w:r>
        <w:rPr>
          <w:rFonts w:hint="eastAsia" w:ascii="宋体" w:hAnsi="宋体" w:eastAsia="宋体" w:cs="宋体"/>
          <w:bCs/>
          <w:color w:val="auto"/>
          <w:sz w:val="24"/>
          <w:highlight w:val="none"/>
        </w:rPr>
        <w:tab/>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（3）合同文本</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（4）采购需求</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（5）评标方法与评标标准</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（6）投标文件格式</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请仔细检查招标文件是否齐全，如有缺漏请立即与代理机构联系解决。</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6.2</w:t>
      </w:r>
      <w:r>
        <w:rPr>
          <w:rFonts w:hint="eastAsia" w:ascii="宋体" w:hAnsi="宋体" w:eastAsia="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69" w:name="_Toc462564070"/>
      <w:r/>
      <w:bookmarkStart w:id="70" w:name="_Toc20823283"/>
      <w:r/>
      <w:bookmarkStart w:id="71" w:name="_Toc16938527"/>
      <w:r/>
      <w:bookmarkStart w:id="72" w:name="_Toc513029211"/>
      <w:r>
        <w:rPr>
          <w:rFonts w:hint="eastAsia" w:ascii="宋体" w:hAnsi="宋体" w:eastAsia="宋体" w:cs="宋体"/>
          <w:b/>
          <w:bCs/>
          <w:color w:val="auto"/>
          <w:sz w:val="28"/>
          <w:szCs w:val="28"/>
          <w:highlight w:val="none"/>
        </w:rPr>
        <w:t xml:space="preserve">7、招标文件的澄清</w:t>
      </w:r>
      <w:bookmarkEnd w:id="69"/>
      <w:r/>
      <w:bookmarkEnd w:id="70"/>
      <w:r/>
      <w:bookmarkEnd w:id="71"/>
      <w:r/>
      <w:bookmarkEnd w:id="72"/>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7.1任何要求对招标文件进行澄清的投标人，应在投标截止期十日前按招标公告中的通讯地址，以书面形式通知采购人。采购人有权对发出的招标文件进行必要的澄清或修改。</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7.2采购人视情况组织答疑会。</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73" w:name="_Toc20823284"/>
      <w:r/>
      <w:bookmarkStart w:id="74" w:name="_Toc513029212"/>
      <w:r/>
      <w:bookmarkStart w:id="75" w:name="_Toc462564071"/>
      <w:r/>
      <w:bookmarkStart w:id="76" w:name="_Toc16938528"/>
      <w:r>
        <w:rPr>
          <w:rFonts w:hint="eastAsia" w:ascii="宋体" w:hAnsi="宋体" w:eastAsia="宋体" w:cs="宋体"/>
          <w:b/>
          <w:bCs/>
          <w:color w:val="auto"/>
          <w:sz w:val="28"/>
          <w:szCs w:val="28"/>
          <w:highlight w:val="none"/>
        </w:rPr>
        <w:t xml:space="preserve">8、招标文件的修改</w:t>
      </w:r>
      <w:bookmarkEnd w:id="73"/>
      <w:r/>
      <w:bookmarkEnd w:id="74"/>
      <w:r/>
      <w:bookmarkEnd w:id="75"/>
      <w:r/>
      <w:bookmarkEnd w:id="76"/>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8.1</w:t>
      </w:r>
      <w:r>
        <w:rPr>
          <w:rFonts w:hint="eastAsia" w:ascii="宋体" w:hAnsi="宋体" w:eastAsia="宋体" w:cs="宋体"/>
          <w:color w:val="auto"/>
          <w:sz w:val="24"/>
          <w:highlight w:val="none"/>
        </w:rPr>
        <w:t xml:space="preserve"> 在投标截止时间前，代理机构可以对招标文件进行修改。</w:t>
      </w:r>
      <w:r/>
    </w:p>
    <w:p>
      <w:pPr>
        <w:ind w:firstLine="480"/>
        <w:pageBreakBefore w:val="0"/>
        <w:spacing w:line="360" w:lineRule="auto"/>
        <w:rPr>
          <w:rFonts w:hint="eastAsia" w:ascii="宋体" w:hAnsi="宋体" w:eastAsia="宋体" w:cs="宋体"/>
          <w:color w:val="auto"/>
          <w:sz w:val="28"/>
          <w:highlight w:val="none"/>
        </w:rPr>
      </w:pPr>
      <w:r>
        <w:rPr>
          <w:rFonts w:hint="eastAsia" w:ascii="宋体" w:hAnsi="宋体" w:eastAsia="宋体" w:cs="宋体"/>
          <w:bCs/>
          <w:color w:val="auto"/>
          <w:sz w:val="24"/>
          <w:highlight w:val="none"/>
        </w:rPr>
        <w:t xml:space="preserve">8.2 </w:t>
      </w:r>
      <w:r>
        <w:rPr>
          <w:rFonts w:hint="eastAsia" w:ascii="宋体" w:hAnsi="宋体" w:eastAsia="宋体" w:cs="宋体"/>
          <w:color w:val="auto"/>
          <w:sz w:val="24"/>
          <w:highlight w:val="none"/>
        </w:rPr>
        <w:t xml:space="preserve">代理机构</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highlight w:val="none"/>
        </w:rPr>
        <w:t xml:space="preserve">推迟投标截止日期和开标日期。</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8.3 </w:t>
      </w:r>
      <w:r>
        <w:rPr>
          <w:rFonts w:hint="eastAsia" w:ascii="宋体" w:hAnsi="宋体" w:eastAsia="宋体" w:cs="宋体"/>
          <w:color w:val="auto"/>
          <w:sz w:val="24"/>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highlight w:val="none"/>
        </w:rPr>
        <w:t xml:space="preserve">并对投标人具有约束力。</w:t>
      </w:r>
      <w:r/>
    </w:p>
    <w:p>
      <w:pPr>
        <w:keepLines/>
        <w:keepNext/>
        <w:pageBreakBefore w:val="0"/>
        <w:spacing w:line="360" w:lineRule="auto"/>
        <w:rPr>
          <w:rFonts w:hint="eastAsia" w:ascii="宋体" w:hAnsi="宋体" w:eastAsia="宋体" w:cs="宋体"/>
          <w:b/>
          <w:bCs/>
          <w:color w:val="auto"/>
          <w:sz w:val="32"/>
          <w:szCs w:val="32"/>
          <w:highlight w:val="none"/>
        </w:rPr>
        <w:outlineLvl w:val="1"/>
      </w:pPr>
      <w:r/>
      <w:bookmarkStart w:id="77" w:name="_Toc120614216"/>
      <w:r/>
      <w:bookmarkStart w:id="78" w:name="_Toc462564072"/>
      <w:r/>
      <w:bookmarkStart w:id="79" w:name="_Toc16938529"/>
      <w:r/>
      <w:bookmarkStart w:id="80" w:name="_Toc20823285"/>
      <w:r/>
      <w:bookmarkStart w:id="81" w:name="_Toc513029213"/>
      <w:r>
        <w:rPr>
          <w:rFonts w:hint="eastAsia" w:ascii="宋体" w:hAnsi="宋体" w:eastAsia="宋体" w:cs="宋体"/>
          <w:b/>
          <w:bCs/>
          <w:color w:val="auto"/>
          <w:sz w:val="32"/>
          <w:szCs w:val="32"/>
          <w:highlight w:val="none"/>
        </w:rPr>
        <w:t xml:space="preserve">三、投标文件的编制</w:t>
      </w:r>
      <w:bookmarkEnd w:id="77"/>
      <w:r/>
      <w:bookmarkEnd w:id="78"/>
      <w:r/>
      <w:bookmarkEnd w:id="79"/>
      <w:r/>
      <w:bookmarkEnd w:id="80"/>
      <w:r/>
      <w:bookmarkEnd w:id="81"/>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82" w:name="_Toc513029214"/>
      <w:r/>
      <w:bookmarkStart w:id="83" w:name="_Toc16938530"/>
      <w:r/>
      <w:bookmarkStart w:id="84" w:name="_Toc20823286"/>
      <w:r/>
      <w:bookmarkStart w:id="85" w:name="_Toc462564073"/>
      <w:r>
        <w:rPr>
          <w:rFonts w:hint="eastAsia" w:ascii="宋体" w:hAnsi="宋体" w:eastAsia="宋体" w:cs="宋体"/>
          <w:b/>
          <w:bCs/>
          <w:color w:val="auto"/>
          <w:sz w:val="28"/>
          <w:szCs w:val="28"/>
          <w:highlight w:val="none"/>
        </w:rPr>
        <w:t xml:space="preserve">9、投标文件的语言及度量衡单位</w:t>
      </w:r>
      <w:bookmarkEnd w:id="82"/>
      <w:r/>
      <w:bookmarkEnd w:id="83"/>
      <w:r/>
      <w:bookmarkEnd w:id="84"/>
      <w:r/>
      <w:bookmarkEnd w:id="85"/>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投标人提交的投标文件以及投标人与代理机构就有关投标的所有来往通知、函件和文件均应使用</w:t>
      </w:r>
      <w:r>
        <w:rPr>
          <w:rFonts w:hint="eastAsia" w:ascii="宋体" w:hAnsi="宋体" w:eastAsia="宋体" w:cs="宋体"/>
          <w:b/>
          <w:bCs/>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 除技术性能另有规定外，投标文件所使用的度量衡单位，均须采用国家法定计量单位。</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86" w:name="_Toc20823287"/>
      <w:r/>
      <w:bookmarkStart w:id="87" w:name="_Toc462564074"/>
      <w:r/>
      <w:bookmarkStart w:id="88" w:name="_Toc513029215"/>
      <w:r/>
      <w:bookmarkStart w:id="89" w:name="_Toc16938531"/>
      <w:r>
        <w:rPr>
          <w:rFonts w:hint="eastAsia" w:ascii="宋体" w:hAnsi="宋体" w:eastAsia="宋体" w:cs="宋体"/>
          <w:b/>
          <w:bCs/>
          <w:color w:val="auto"/>
          <w:sz w:val="28"/>
          <w:szCs w:val="28"/>
          <w:highlight w:val="none"/>
        </w:rPr>
        <w:t xml:space="preserve">10、投标文件构成</w:t>
      </w:r>
      <w:bookmarkEnd w:id="86"/>
      <w:r/>
      <w:bookmarkEnd w:id="87"/>
      <w:r/>
      <w:bookmarkEnd w:id="88"/>
      <w:r/>
      <w:bookmarkEnd w:id="89"/>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10.1投标人编写的投标文件应包括资格证明文件、实质性要求响应及偏离表、投标分项报价表、技术要求响应及偏离表、商务要求响应及偏离表、其他证明文件、投标函、开标一览表等部分。请按“第六章  投标文件格式”要求编写投标文件。</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如标书制作工具中格式和内容与“江苏政府采购网”发布的招标文件不一致，请以“江苏政府采购网”发布的招标文件为准。</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90" w:name="_Hlt26668975"/>
      <w:r/>
      <w:bookmarkEnd w:id="90"/>
      <w:r/>
      <w:bookmarkStart w:id="91" w:name="_Hlt26954838"/>
      <w:r/>
      <w:bookmarkEnd w:id="91"/>
      <w:r/>
      <w:bookmarkStart w:id="92" w:name="_Hlt26670360"/>
      <w:r/>
      <w:bookmarkEnd w:id="92"/>
      <w:r/>
      <w:bookmarkStart w:id="93" w:name="_Toc513029216"/>
      <w:r/>
      <w:bookmarkStart w:id="94" w:name="_Toc513029219"/>
      <w:r/>
      <w:bookmarkStart w:id="95" w:name="_Toc49090507"/>
      <w:r/>
      <w:bookmarkStart w:id="96" w:name="_Toc49090509"/>
      <w:r/>
      <w:bookmarkStart w:id="97" w:name="_Toc14577357"/>
      <w:r/>
      <w:bookmarkStart w:id="98" w:name="_Toc14577354"/>
      <w:r>
        <w:rPr>
          <w:rFonts w:hint="eastAsia" w:ascii="宋体" w:hAnsi="宋体" w:eastAsia="宋体" w:cs="宋体"/>
          <w:b/>
          <w:bCs/>
          <w:color w:val="auto"/>
          <w:sz w:val="28"/>
          <w:szCs w:val="28"/>
          <w:highlight w:val="none"/>
        </w:rPr>
        <w:t xml:space="preserve">11、证明投标人及投标标的符合招标文件规定的文件</w:t>
      </w:r>
      <w:bookmarkEnd w:id="93"/>
      <w:r/>
      <w:bookmarkEnd w:id="94"/>
      <w:r/>
      <w:bookmarkEnd w:id="95"/>
      <w:r/>
      <w:bookmarkEnd w:id="96"/>
      <w:r/>
      <w:bookmarkEnd w:id="97"/>
      <w:r/>
      <w:bookmarkEnd w:id="98"/>
      <w:r/>
      <w:r/>
    </w:p>
    <w:p>
      <w:pPr>
        <w:ind w:firstLine="480"/>
        <w:pageBreakBefore w:val="0"/>
        <w:spacing w:line="360" w:lineRule="auto"/>
        <w:rPr>
          <w:rFonts w:hint="eastAsia" w:ascii="宋体" w:hAnsi="宋体" w:eastAsia="宋体" w:cs="宋体"/>
          <w:color w:val="auto"/>
          <w:sz w:val="24"/>
          <w:highlight w:val="none"/>
        </w:rPr>
      </w:pPr>
      <w:r/>
      <w:bookmarkStart w:id="99" w:name="_Toc14577355"/>
      <w:r/>
      <w:bookmarkStart w:id="100" w:name="_Toc49090508"/>
      <w:r>
        <w:rPr>
          <w:rFonts w:hint="eastAsia" w:ascii="宋体" w:hAnsi="宋体" w:eastAsia="宋体" w:cs="宋体"/>
          <w:color w:val="auto"/>
          <w:sz w:val="24"/>
          <w:highlight w:val="none"/>
        </w:rPr>
        <w:t xml:space="preserve">11.1投标人应按照法律、法规、规章和规范性文件以及招标文件要求提交证明文件，证明其及投标标的符合招标文件规定。</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ind w:firstLine="422"/>
        <w:keepLines/>
        <w:keepNext/>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12、投标分项报价</w:t>
      </w:r>
      <w:bookmarkEnd w:id="99"/>
      <w:r/>
      <w:bookmarkStart w:id="101" w:name="_Hlt26670373"/>
      <w:r/>
      <w:bookmarkEnd w:id="101"/>
      <w:r>
        <w:rPr>
          <w:rFonts w:hint="eastAsia" w:ascii="宋体" w:hAnsi="宋体" w:eastAsia="宋体" w:cs="宋体"/>
          <w:b/>
          <w:bCs/>
          <w:color w:val="auto"/>
          <w:sz w:val="28"/>
          <w:szCs w:val="28"/>
          <w:highlight w:val="none"/>
        </w:rPr>
        <w:t xml:space="preserve">表</w:t>
      </w:r>
      <w:bookmarkEnd w:id="100"/>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投</w:t>
      </w:r>
      <w:bookmarkStart w:id="102" w:name="_Hlt26954840"/>
      <w:r/>
      <w:bookmarkEnd w:id="102"/>
      <w:r>
        <w:rPr>
          <w:rFonts w:hint="eastAsia" w:ascii="宋体" w:hAnsi="宋体" w:eastAsia="宋体" w:cs="宋体"/>
          <w:color w:val="auto"/>
          <w:sz w:val="24"/>
          <w:highlight w:val="none"/>
        </w:rPr>
        <w:t xml:space="preserve">标人按照招标文件规定格式填报投标分项报价表</w:t>
      </w:r>
      <w:bookmarkStart w:id="103" w:name="_Hlt26670399"/>
      <w:r/>
      <w:bookmarkEnd w:id="103"/>
      <w:r>
        <w:rPr>
          <w:rFonts w:hint="eastAsia" w:ascii="宋体" w:hAnsi="宋体" w:eastAsia="宋体" w:cs="宋体"/>
          <w:color w:val="auto"/>
          <w:sz w:val="24"/>
          <w:highlight w:val="none"/>
        </w:rPr>
        <w:t xml:space="preserve">。</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12.2投标货币。投标文件中的单价和总价无特殊规定的采用人民币报价，以元为单位标注。招标文件中另有规定的按规定执行。</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04" w:name="_Hlt26670425"/>
      <w:r/>
      <w:bookmarkEnd w:id="104"/>
      <w:r/>
      <w:bookmarkStart w:id="105" w:name="_Hlt26954731"/>
      <w:r/>
      <w:bookmarkEnd w:id="105"/>
      <w:r/>
      <w:bookmarkStart w:id="106" w:name="_Hlt26670486"/>
      <w:r/>
      <w:bookmarkEnd w:id="106"/>
      <w:r/>
      <w:bookmarkStart w:id="107" w:name="_Hlt26668983"/>
      <w:r/>
      <w:bookmarkEnd w:id="107"/>
      <w:r/>
      <w:bookmarkStart w:id="108" w:name="_Hlt26954848"/>
      <w:r/>
      <w:bookmarkEnd w:id="108"/>
      <w:r/>
      <w:bookmarkStart w:id="109" w:name="_Hlt26670482"/>
      <w:r/>
      <w:bookmarkEnd w:id="109"/>
      <w:r/>
      <w:bookmarkStart w:id="110" w:name="_Hlt26954844"/>
      <w:r/>
      <w:bookmarkEnd w:id="110"/>
      <w:r/>
      <w:bookmarkStart w:id="111" w:name="_Hlt26670403"/>
      <w:r/>
      <w:bookmarkEnd w:id="111"/>
      <w:r/>
      <w:bookmarkStart w:id="112" w:name="_Hlt26954846"/>
      <w:r/>
      <w:bookmarkEnd w:id="112"/>
      <w:r/>
      <w:bookmarkStart w:id="113" w:name="_Hlt26954842"/>
      <w:r/>
      <w:bookmarkEnd w:id="113"/>
      <w:r>
        <w:rPr>
          <w:rFonts w:hint="eastAsia" w:ascii="宋体" w:hAnsi="宋体" w:eastAsia="宋体" w:cs="宋体"/>
          <w:b/>
          <w:bCs/>
          <w:color w:val="auto"/>
          <w:sz w:val="28"/>
          <w:szCs w:val="28"/>
          <w:highlight w:val="none"/>
        </w:rPr>
        <w:t xml:space="preserve">13、技术要求响应及偏离表、商务要求响应及偏离表</w:t>
      </w:r>
      <w:r/>
    </w:p>
    <w:p>
      <w:pPr>
        <w:ind w:firstLine="48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13.1投标人需对招标文件中的技术要求与商务要求逐项作出响应，如有偏离的，应逐条填列在偏离表中，并说明偏离情况。</w:t>
      </w:r>
      <w:r/>
    </w:p>
    <w:p>
      <w:pPr>
        <w:ind w:firstLine="480"/>
        <w:pageBreakBefore w:val="0"/>
        <w:spacing w:line="360" w:lineRule="auto"/>
        <w:rPr>
          <w:rFonts w:hint="eastAsia" w:ascii="宋体" w:hAnsi="宋体" w:eastAsia="宋体" w:cs="宋体"/>
          <w:color w:val="auto"/>
          <w:sz w:val="24"/>
          <w:highlight w:val="none"/>
          <w:lang w:val="zh-CN"/>
        </w:rPr>
      </w:pPr>
      <w:r/>
      <w:bookmarkStart w:id="114" w:name="_Toc49090510"/>
      <w:r/>
      <w:bookmarkStart w:id="115" w:name="_Toc14577359"/>
      <w:r>
        <w:rPr>
          <w:rFonts w:hint="eastAsia" w:ascii="宋体" w:hAnsi="宋体" w:eastAsia="宋体" w:cs="宋体"/>
          <w:color w:val="auto"/>
          <w:sz w:val="24"/>
          <w:highlight w:val="none"/>
          <w:lang w:val="zh-CN"/>
        </w:rPr>
        <w:t xml:space="preserve">13.2投标人需按照招标文件要求，在投标文件中提供与技术要求和商务要求相关的证明材料。</w:t>
      </w:r>
      <w:r/>
    </w:p>
    <w:p>
      <w:pPr>
        <w:ind w:firstLine="422"/>
        <w:keepLines/>
        <w:keepNext/>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14、投标函和开标一览表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14.1</w:t>
      </w:r>
      <w:r>
        <w:rPr>
          <w:rFonts w:hint="eastAsia" w:ascii="宋体" w:hAnsi="宋体" w:eastAsia="宋体" w:cs="宋体"/>
          <w:color w:val="auto"/>
          <w:sz w:val="24"/>
          <w:highlight w:val="none"/>
        </w:rPr>
        <w:t xml:space="preserve"> 投标人应按照要求提供的格式完整、正确填写投标函、开标一览表。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14.2对于采用折扣率报价的项目，开标一览表中的投标优惠率应与投标分项报价表中的投标折扣率折算后一致，如不一致，</w:t>
      </w:r>
      <w:r>
        <w:rPr>
          <w:rFonts w:hint="eastAsia" w:ascii="宋体" w:hAnsi="宋体" w:eastAsia="宋体" w:cs="宋体"/>
          <w:b/>
          <w:bCs/>
          <w:color w:val="auto"/>
          <w:sz w:val="24"/>
          <w:highlight w:val="none"/>
        </w:rPr>
        <w:t xml:space="preserve">作为无效投标处理</w:t>
      </w:r>
      <w:r>
        <w:rPr>
          <w:rFonts w:hint="eastAsia" w:ascii="宋体" w:hAnsi="宋体" w:eastAsia="宋体" w:cs="宋体"/>
          <w:color w:val="auto"/>
          <w:sz w:val="24"/>
          <w:highlight w:val="none"/>
        </w:rPr>
        <w:t xml:space="preserve">。</w:t>
      </w:r>
      <w:bookmarkEnd w:id="114"/>
      <w:r/>
      <w:bookmarkEnd w:id="115"/>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16" w:name="_Hlt26954850"/>
      <w:r/>
      <w:bookmarkEnd w:id="116"/>
      <w:r/>
      <w:bookmarkStart w:id="117" w:name="_Hlt26954734"/>
      <w:r/>
      <w:bookmarkEnd w:id="117"/>
      <w:r/>
      <w:bookmarkStart w:id="118" w:name="_Hlt26670489"/>
      <w:r/>
      <w:bookmarkEnd w:id="118"/>
      <w:r/>
      <w:bookmarkStart w:id="119" w:name="_Toc49090511"/>
      <w:r/>
      <w:bookmarkStart w:id="120" w:name="_Toc14577360"/>
      <w:r>
        <w:rPr>
          <w:rFonts w:hint="eastAsia" w:ascii="宋体" w:hAnsi="宋体" w:eastAsia="宋体" w:cs="宋体"/>
          <w:b/>
          <w:bCs/>
          <w:color w:val="auto"/>
          <w:sz w:val="28"/>
          <w:szCs w:val="28"/>
          <w:highlight w:val="none"/>
        </w:rPr>
        <w:t xml:space="preserve">15、投标有效期</w:t>
      </w:r>
      <w:bookmarkEnd w:id="119"/>
      <w:r/>
      <w:bookmarkEnd w:id="120"/>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 投标有效期为代理机构规定的开标之日后</w:t>
      </w:r>
      <w:r>
        <w:rPr>
          <w:rFonts w:hint="eastAsia" w:ascii="宋体" w:hAnsi="宋体" w:eastAsia="宋体" w:cs="宋体"/>
          <w:b/>
          <w:color w:val="auto"/>
          <w:sz w:val="24"/>
          <w:highlight w:val="none"/>
          <w:u w:val="single"/>
        </w:rPr>
        <w:t xml:space="preserve">六十（60）天</w:t>
      </w:r>
      <w:r>
        <w:rPr>
          <w:rFonts w:hint="eastAsia" w:ascii="宋体" w:hAnsi="宋体" w:eastAsia="宋体" w:cs="宋体"/>
          <w:bCs/>
          <w:color w:val="auto"/>
          <w:sz w:val="24"/>
          <w:highlight w:val="none"/>
        </w:rPr>
        <w:t xml:space="preserve">。投标有效期比规定短的将被视为未实质性响应招标文件而予以拒绝。</w:t>
      </w:r>
      <w:r/>
    </w:p>
    <w:p>
      <w:pPr>
        <w:ind w:firstLine="422"/>
        <w:keepLines/>
        <w:keepNext/>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16、投标有效期的延长</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keepLines/>
        <w:keepNext/>
        <w:pageBreakBefore w:val="0"/>
        <w:spacing w:line="360" w:lineRule="auto"/>
        <w:rPr>
          <w:rFonts w:hint="eastAsia" w:ascii="宋体" w:hAnsi="宋体" w:eastAsia="宋体" w:cs="宋体"/>
          <w:b/>
          <w:bCs/>
          <w:color w:val="auto"/>
          <w:sz w:val="32"/>
          <w:szCs w:val="32"/>
          <w:highlight w:val="none"/>
        </w:rPr>
        <w:outlineLvl w:val="1"/>
      </w:pPr>
      <w:r/>
      <w:bookmarkStart w:id="121" w:name="_Hlt26954852"/>
      <w:r/>
      <w:bookmarkEnd w:id="121"/>
      <w:r/>
      <w:bookmarkStart w:id="122" w:name="_Hlt26954739"/>
      <w:r/>
      <w:bookmarkEnd w:id="122"/>
      <w:r/>
      <w:bookmarkStart w:id="123" w:name="_Toc16938540"/>
      <w:r/>
      <w:bookmarkStart w:id="124" w:name="_Toc513029224"/>
      <w:r/>
      <w:bookmarkStart w:id="125" w:name="_Toc20823296"/>
      <w:r/>
      <w:bookmarkStart w:id="126" w:name="_Toc120614217"/>
      <w:r>
        <w:rPr>
          <w:rFonts w:hint="eastAsia" w:ascii="宋体" w:hAnsi="宋体" w:eastAsia="宋体" w:cs="宋体"/>
          <w:b/>
          <w:bCs/>
          <w:color w:val="auto"/>
          <w:sz w:val="32"/>
          <w:szCs w:val="32"/>
          <w:highlight w:val="none"/>
        </w:rPr>
        <w:t xml:space="preserve">四、投标文件的递交</w:t>
      </w:r>
      <w:bookmarkEnd w:id="123"/>
      <w:r/>
      <w:bookmarkEnd w:id="124"/>
      <w:r/>
      <w:bookmarkEnd w:id="125"/>
      <w:r/>
      <w:bookmarkEnd w:id="126"/>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27" w:name="_Toc513029225"/>
      <w:r/>
      <w:bookmarkStart w:id="128" w:name="_Toc20823297"/>
      <w:r/>
      <w:bookmarkStart w:id="129" w:name="_Toc16938541"/>
      <w:r/>
      <w:bookmarkStart w:id="130" w:name="_Toc462564084"/>
      <w:r>
        <w:rPr>
          <w:rFonts w:hint="eastAsia" w:ascii="宋体" w:hAnsi="宋体" w:eastAsia="宋体" w:cs="宋体"/>
          <w:b/>
          <w:bCs/>
          <w:color w:val="auto"/>
          <w:sz w:val="28"/>
          <w:szCs w:val="28"/>
          <w:highlight w:val="none"/>
        </w:rPr>
        <w:t xml:space="preserve">17、投标文件</w:t>
      </w:r>
      <w:bookmarkEnd w:id="127"/>
      <w:r/>
      <w:bookmarkEnd w:id="128"/>
      <w:r/>
      <w:bookmarkEnd w:id="129"/>
      <w:r/>
      <w:bookmarkEnd w:id="130"/>
      <w:r>
        <w:rPr>
          <w:rFonts w:hint="eastAsia" w:ascii="宋体" w:hAnsi="宋体" w:eastAsia="宋体" w:cs="宋体"/>
          <w:b/>
          <w:bCs/>
          <w:color w:val="auto"/>
          <w:sz w:val="28"/>
          <w:szCs w:val="28"/>
          <w:highlight w:val="none"/>
        </w:rPr>
        <w:t xml:space="preserve">的递交</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 电子投标文件的递交</w:t>
      </w:r>
      <w:r/>
    </w:p>
    <w:p>
      <w:pPr>
        <w:pStyle w:val="934"/>
        <w:ind w:left="525"/>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投标人应当按照《操作手册》规定，在投标截止时间前制作并上传电子投标文件。</w:t>
      </w:r>
      <w:bookmarkStart w:id="131" w:name="_Toc20823298"/>
      <w:r/>
      <w:bookmarkStart w:id="132" w:name="_Toc16938542"/>
      <w:r/>
      <w:bookmarkStart w:id="133" w:name="_Toc513029226"/>
      <w:r/>
      <w:r/>
    </w:p>
    <w:p>
      <w:pPr>
        <w:ind w:firstLine="422"/>
        <w:keepLines/>
        <w:keepNext/>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18、投标截止</w:t>
      </w:r>
      <w:bookmarkEnd w:id="131"/>
      <w:r/>
      <w:bookmarkEnd w:id="132"/>
      <w:r/>
      <w:bookmarkEnd w:id="133"/>
      <w:r>
        <w:rPr>
          <w:rFonts w:hint="eastAsia" w:ascii="宋体" w:hAnsi="宋体" w:eastAsia="宋体" w:cs="宋体"/>
          <w:b/>
          <w:bCs/>
          <w:color w:val="auto"/>
          <w:sz w:val="28"/>
          <w:szCs w:val="28"/>
          <w:highlight w:val="none"/>
        </w:rPr>
        <w:t xml:space="preserve">时间</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代理机构可以按照规定，通过修改招标文件酌情延长投标截止时间，在此情况下，投标人的所有权利和义务以及投标人受制的截止时间均应以延长后新的截止时间为准。</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34" w:name="_Toc16938543"/>
      <w:r/>
      <w:bookmarkStart w:id="135" w:name="_Toc513029227"/>
      <w:r/>
      <w:bookmarkStart w:id="136" w:name="_Toc20823299"/>
      <w:r>
        <w:rPr>
          <w:rFonts w:hint="eastAsia" w:ascii="宋体" w:hAnsi="宋体" w:eastAsia="宋体" w:cs="宋体"/>
          <w:b/>
          <w:bCs/>
          <w:color w:val="auto"/>
          <w:sz w:val="28"/>
          <w:szCs w:val="28"/>
          <w:highlight w:val="none"/>
        </w:rPr>
        <w:t xml:space="preserve">19、投标文件</w:t>
      </w:r>
      <w:bookmarkEnd w:id="134"/>
      <w:r/>
      <w:bookmarkEnd w:id="135"/>
      <w:r/>
      <w:bookmarkEnd w:id="136"/>
      <w:r>
        <w:rPr>
          <w:rFonts w:hint="eastAsia" w:ascii="宋体" w:hAnsi="宋体" w:eastAsia="宋体" w:cs="宋体"/>
          <w:b/>
          <w:bCs/>
          <w:color w:val="auto"/>
          <w:sz w:val="28"/>
          <w:szCs w:val="28"/>
          <w:highlight w:val="none"/>
        </w:rPr>
        <w:t xml:space="preserve">的拒收</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代理机构拒绝接收在其规定的投标截止时间后上传的任何投标文件。</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37" w:name="_Toc513029228"/>
      <w:r/>
      <w:bookmarkStart w:id="138" w:name="_Toc16938544"/>
      <w:r/>
      <w:bookmarkStart w:id="139" w:name="_Toc20823300"/>
      <w:r>
        <w:rPr>
          <w:rFonts w:hint="eastAsia" w:ascii="宋体" w:hAnsi="宋体" w:eastAsia="宋体" w:cs="宋体"/>
          <w:b/>
          <w:bCs/>
          <w:color w:val="auto"/>
          <w:sz w:val="28"/>
          <w:szCs w:val="28"/>
          <w:highlight w:val="none"/>
        </w:rPr>
        <w:t xml:space="preserve">20、投标文件的撤回和修改</w:t>
      </w:r>
      <w:bookmarkEnd w:id="137"/>
      <w:r/>
      <w:bookmarkEnd w:id="138"/>
      <w:r/>
      <w:bookmarkEnd w:id="139"/>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投标文件的撤回</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20.1.1 电子投标文件的撤回</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 投标人撤回电子投标文件，则认为其不再参与本项目投标活动。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 在投标截止时间之后，投标人不得对其电子投标文件作任何修改。</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keepLines/>
        <w:keepNext/>
        <w:pageBreakBefore w:val="0"/>
        <w:spacing w:line="360" w:lineRule="auto"/>
        <w:rPr>
          <w:rFonts w:hint="eastAsia" w:ascii="宋体" w:hAnsi="宋体" w:eastAsia="宋体" w:cs="宋体"/>
          <w:b/>
          <w:bCs/>
          <w:color w:val="auto"/>
          <w:sz w:val="32"/>
          <w:szCs w:val="32"/>
          <w:highlight w:val="none"/>
        </w:rPr>
        <w:outlineLvl w:val="1"/>
      </w:pPr>
      <w:r/>
      <w:bookmarkStart w:id="140" w:name="_Toc120614218"/>
      <w:r/>
      <w:bookmarkStart w:id="141" w:name="_Toc20823301"/>
      <w:r/>
      <w:bookmarkStart w:id="142" w:name="_Toc513029229"/>
      <w:r/>
      <w:bookmarkStart w:id="143" w:name="_Toc16938545"/>
      <w:r>
        <w:rPr>
          <w:rFonts w:hint="eastAsia" w:ascii="宋体" w:hAnsi="宋体" w:eastAsia="宋体" w:cs="宋体"/>
          <w:b/>
          <w:bCs/>
          <w:color w:val="auto"/>
          <w:sz w:val="32"/>
          <w:szCs w:val="32"/>
          <w:highlight w:val="none"/>
        </w:rPr>
        <w:t xml:space="preserve">五、开标与评标</w:t>
      </w:r>
      <w:bookmarkEnd w:id="140"/>
      <w:r/>
      <w:bookmarkEnd w:id="141"/>
      <w:r/>
      <w:bookmarkEnd w:id="142"/>
      <w:r/>
      <w:bookmarkEnd w:id="143"/>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44" w:name="_Toc513029230"/>
      <w:r/>
      <w:bookmarkStart w:id="145" w:name="_Toc20823302"/>
      <w:r/>
      <w:bookmarkStart w:id="146" w:name="_Toc16938546"/>
      <w:r>
        <w:rPr>
          <w:rFonts w:hint="eastAsia" w:ascii="宋体" w:hAnsi="宋体" w:eastAsia="宋体" w:cs="宋体"/>
          <w:b/>
          <w:bCs/>
          <w:color w:val="auto"/>
          <w:sz w:val="28"/>
          <w:szCs w:val="28"/>
          <w:highlight w:val="none"/>
        </w:rPr>
        <w:t xml:space="preserve">21、开标</w:t>
      </w:r>
      <w:bookmarkEnd w:id="144"/>
      <w:r/>
      <w:bookmarkEnd w:id="145"/>
      <w:r/>
      <w:bookmarkEnd w:id="146"/>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21.1代理机构将在招标公告中规定的时间和地点组织公开开标。投标人应当按照《操作手册》规定，参加开标活动和在苏采云系统规定的时间内对投标文件进行解密。</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21.2开标仪式由代理机构组织。苏采云系统将自动对项目进行开标，并宣布各投标人名称和投标价格。</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21.3投标人在开标过程中涉及到的投标文件解密、开标结果确认等工作，应按照《操作手册》规定执行。</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47" w:name="_Toc20823303"/>
      <w:r/>
      <w:bookmarkStart w:id="148" w:name="_Toc513029231"/>
      <w:r/>
      <w:bookmarkStart w:id="149" w:name="_Toc16938547"/>
      <w:r>
        <w:rPr>
          <w:rFonts w:hint="eastAsia" w:ascii="宋体" w:hAnsi="宋体" w:eastAsia="宋体" w:cs="宋体"/>
          <w:b/>
          <w:bCs/>
          <w:color w:val="auto"/>
          <w:sz w:val="28"/>
          <w:szCs w:val="28"/>
          <w:highlight w:val="none"/>
        </w:rPr>
        <w:t xml:space="preserve">22、评标委员会</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 开标后，代理机构将立即组织评标委员会（以下简称评委会）进行评标。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 评委会由采购人代表和有关技术、经济等方面的专家组成，且人员构成符合政府采购有关规定。</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22.3评委会独立工作，负责评审所有投标文件并确定中标候选人。</w:t>
      </w:r>
      <w:r/>
    </w:p>
    <w:p>
      <w:pPr>
        <w:ind w:firstLine="422"/>
        <w:keepLines/>
        <w:keepNext/>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23、评标过程的保密与公正</w:t>
      </w:r>
      <w:bookmarkEnd w:id="147"/>
      <w:r/>
      <w:bookmarkEnd w:id="148"/>
      <w:r/>
      <w:bookmarkEnd w:id="149"/>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23.1公开开标后，直至向中标的投标人授予合同时止，凡是与审查、澄清、评价和比较投标的有关资料以及授标建议等，采购人、评委、代理机构均不得向投标人或与评标无关的其他人员透露。</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23.2在评标过程中，投标人不得以任何行为影响评标过程，否则其投标文件将被作为无效投标文件。</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23.3在评标期间，代理机构将设专门人员与投标人联系。</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23.4代理机构和评标委员会不向未中标的投标人解释未中标原因，也不公布评标过程中的相关细节。</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23.5采用综合评分法的项目，未中标的投标人可于中标结果公告期限届满之日起通过苏采云系统查看自己的评审得分及排序情况。</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50" w:name="_Toc20823304"/>
      <w:r/>
      <w:bookmarkStart w:id="151" w:name="_Toc513029232"/>
      <w:r/>
      <w:bookmarkStart w:id="152" w:name="_Toc16938548"/>
      <w:r>
        <w:rPr>
          <w:rFonts w:hint="eastAsia" w:ascii="宋体" w:hAnsi="宋体" w:eastAsia="宋体" w:cs="宋体"/>
          <w:b/>
          <w:bCs/>
          <w:color w:val="auto"/>
          <w:sz w:val="28"/>
          <w:szCs w:val="28"/>
          <w:highlight w:val="none"/>
        </w:rPr>
        <w:t xml:space="preserve">24、投标文件的澄清</w:t>
      </w:r>
      <w:bookmarkEnd w:id="150"/>
      <w:r/>
      <w:bookmarkEnd w:id="151"/>
      <w:r/>
      <w:bookmarkEnd w:id="152"/>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投标人的澄清、说明或者补正不得超出投标文件的范围或者改变投标文件的实质性内容。</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评标委员会并非对每个投标人都做澄清要求。</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24.3接到评委会澄清、说明和补正要求的投标人如未按规定做出澄清、说明和补正，其风险由投标人自行承担。</w:t>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53" w:name="_Toc16938549"/>
      <w:r/>
      <w:bookmarkStart w:id="154" w:name="_Toc513029233"/>
      <w:r/>
      <w:bookmarkStart w:id="155" w:name="_Toc20823305"/>
      <w:r>
        <w:rPr>
          <w:rFonts w:hint="eastAsia" w:ascii="宋体" w:hAnsi="宋体" w:eastAsia="宋体" w:cs="宋体"/>
          <w:b/>
          <w:bCs/>
          <w:color w:val="auto"/>
          <w:sz w:val="28"/>
          <w:szCs w:val="28"/>
          <w:highlight w:val="none"/>
        </w:rPr>
        <w:t xml:space="preserve">25、对投标文件的初审</w:t>
      </w:r>
      <w:bookmarkEnd w:id="153"/>
      <w:r/>
      <w:bookmarkEnd w:id="154"/>
      <w:r/>
      <w:bookmarkEnd w:id="155"/>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三个自然人、法人或者其他组织组成一个联合体，以一个供应商的身份共同参加政府采购活动的,联合体成员存在不良信用记录的，视同联合体存在不良应用记录。</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25.1.3未通过资格审查或符合性审查的投标人，评标委员会将在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中告知未通过资格审查或符合性审查的原因，评标结束后，评标委员会将不再告知未通过资格审查和符合性审查的原因。</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（1）大写金额和小写金额不一致的，以大写金额为准。</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（2）单价金额小数点或者百分比有明显错位的，以开标一览表的总价为准，并修改单价。</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（3）总价金额与按单价汇总金额不一致的，以单价金额计算结果为准。</w:t>
      </w:r>
      <w:r/>
    </w:p>
    <w:p>
      <w:pPr>
        <w:ind w:firstLine="72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告知投标人，调整后的价格应对投标人具有约束力。如果投标人不接受修正后的价格，则其投标将被拒绝。</w:t>
      </w:r>
      <w:r/>
    </w:p>
    <w:p>
      <w:pPr>
        <w:ind w:firstLine="42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25.6评委会将允许修正投标文件中不构成重大偏离的、微小的、非正规的、不一致的或不规则的地方，但这些修改不能影响任何投标人相应的名次排列。</w:t>
      </w:r>
      <w:bookmarkStart w:id="156" w:name="_Toc513029234"/>
      <w:r/>
      <w:bookmarkStart w:id="157" w:name="_Toc16938550"/>
      <w:r/>
      <w:bookmarkStart w:id="158" w:name="_Toc20823306"/>
      <w:r/>
      <w:r/>
    </w:p>
    <w:p>
      <w:pPr>
        <w:ind w:firstLine="42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25.7投标人在开、评标全过程中应保持通讯畅通，及时登录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查阅、答复相关信息，并安排专人与代理机构及评标委员会联系。</w:t>
      </w:r>
      <w:r/>
    </w:p>
    <w:p>
      <w:pPr>
        <w:ind w:firstLine="422"/>
        <w:keepLines/>
        <w:keepNext/>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26、</w:t>
      </w:r>
      <w:bookmarkEnd w:id="156"/>
      <w:r/>
      <w:bookmarkEnd w:id="157"/>
      <w:r/>
      <w:bookmarkEnd w:id="158"/>
      <w:r>
        <w:rPr>
          <w:rFonts w:hint="eastAsia" w:ascii="宋体" w:hAnsi="宋体" w:eastAsia="宋体" w:cs="宋体"/>
          <w:b/>
          <w:bCs/>
          <w:color w:val="auto"/>
          <w:sz w:val="28"/>
          <w:szCs w:val="28"/>
          <w:highlight w:val="none"/>
        </w:rPr>
        <w:t xml:space="preserve">无效投标条款和废标条款</w:t>
      </w:r>
      <w:r/>
    </w:p>
    <w:p>
      <w:pPr>
        <w:ind w:left="479"/>
        <w:pageBreakBefore w:val="0"/>
        <w:spacing w:line="360" w:lineRule="auto"/>
        <w:rPr>
          <w:rFonts w:hint="eastAsia" w:ascii="宋体" w:hAnsi="宋体" w:eastAsia="宋体" w:cs="宋体"/>
          <w:bCs/>
          <w:color w:val="auto"/>
          <w:sz w:val="24"/>
          <w:highlight w:val="none"/>
        </w:rPr>
        <w:outlineLvl w:val="2"/>
      </w:pPr>
      <w:r/>
      <w:bookmarkStart w:id="159" w:name="_Toc20823307"/>
      <w:r/>
      <w:bookmarkStart w:id="160" w:name="_Toc16938551"/>
      <w:r/>
      <w:bookmarkStart w:id="161" w:name="_Toc513029235"/>
      <w:r>
        <w:rPr>
          <w:rFonts w:hint="eastAsia" w:ascii="宋体" w:hAnsi="宋体" w:eastAsia="宋体" w:cs="宋体"/>
          <w:bCs/>
          <w:color w:val="auto"/>
          <w:sz w:val="24"/>
          <w:highlight w:val="none"/>
        </w:rPr>
        <w:t xml:space="preserve">26.1无效投标条款</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 投标人未按照招标文件要求上传电子投标文件的。</w:t>
      </w:r>
      <w:r/>
    </w:p>
    <w:p>
      <w:pPr>
        <w:ind w:left="479"/>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26.1.3 投标人同一分包提交两个（含两个）以上不同的投标报价的。</w:t>
      </w:r>
      <w:r/>
    </w:p>
    <w:p>
      <w:pPr>
        <w:ind w:left="479"/>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26.1.4投标人不具备招标文件中规定资格要求的。</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26.1.5投标人的报价超过了采购预算或最高限价的。</w:t>
      </w:r>
      <w:r/>
    </w:p>
    <w:p>
      <w:pPr>
        <w:ind w:firstLine="480"/>
        <w:pageBreakBefore w:val="0"/>
        <w:spacing w:line="360" w:lineRule="auto"/>
        <w:rPr>
          <w:rFonts w:hint="eastAsia" w:ascii="宋体" w:hAnsi="宋体" w:eastAsia="宋体" w:cs="宋体"/>
          <w:bCs/>
          <w:i/>
          <w:color w:val="auto"/>
          <w:sz w:val="24"/>
          <w:highlight w:val="none"/>
          <w:u w:val="single"/>
        </w:rPr>
      </w:pPr>
      <w:r>
        <w:rPr>
          <w:rFonts w:hint="eastAsia" w:ascii="宋体" w:hAnsi="宋体" w:eastAsia="宋体" w:cs="宋体"/>
          <w:bCs/>
          <w:color w:val="auto"/>
          <w:sz w:val="24"/>
          <w:highlight w:val="none"/>
        </w:rPr>
        <w:t xml:space="preserve">26.1.6未通过符合性审查的。</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26.1.7不符合招标文件中规定的实质性要求的。</w:t>
      </w:r>
      <w:r/>
    </w:p>
    <w:p>
      <w:pPr>
        <w:ind w:firstLine="480"/>
        <w:pageBreakBefore w:val="0"/>
        <w:spacing w:line="360" w:lineRule="auto"/>
        <w:rPr>
          <w:rFonts w:hint="eastAsia" w:ascii="宋体" w:hAnsi="宋体" w:eastAsia="宋体" w:cs="宋体"/>
          <w:bCs/>
          <w:i/>
          <w:color w:val="auto"/>
          <w:sz w:val="24"/>
          <w:highlight w:val="none"/>
          <w:u w:val="single"/>
        </w:rPr>
      </w:pPr>
      <w:r>
        <w:rPr>
          <w:rFonts w:hint="eastAsia" w:ascii="宋体" w:hAnsi="宋体" w:eastAsia="宋体" w:cs="宋体"/>
          <w:color w:val="auto"/>
          <w:sz w:val="24"/>
          <w:highlight w:val="none"/>
        </w:rPr>
        <w:t xml:space="preserve">26.1.8对于采用折扣率报价的项目，开标一览表中的投标优惠率与投标分项报价表中的投标折扣率折算后不一致的。</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26.1.9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26.1.10 投标文件含有采购人不能接受的附加条件的。</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26.1.11评标委员会认为投标人的报价明显低于其他通过符合性审查投标人的报价，有可能影响产品质量或者不能诚信履约的，将通过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26.1.12投标文件未按照招标文件要求加盖CA电子公章的。</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26.1.13其他法律、法规及本招标文件规定的属无效投标的情形。</w:t>
      </w:r>
      <w:r/>
    </w:p>
    <w:p>
      <w:pPr>
        <w:ind w:left="479"/>
        <w:pageBreakBefore w:val="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26.2废标条款</w:t>
      </w:r>
      <w:r/>
    </w:p>
    <w:p>
      <w:pPr>
        <w:ind w:left="479"/>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26.2.1符合专业条件的投标人或者对招标文件作实质响应的投标人不足三家的。26.2.2出现影响采购公正的违法、违规行为的。</w:t>
      </w:r>
      <w:r/>
    </w:p>
    <w:p>
      <w:pPr>
        <w:ind w:left="479"/>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color w:val="auto"/>
          <w:sz w:val="24"/>
          <w:szCs w:val="24"/>
          <w:highlight w:val="none"/>
        </w:rPr>
        <w:t xml:space="preserve">苏采云</w:t>
      </w:r>
      <w:r>
        <w:rPr>
          <w:rFonts w:hint="eastAsia" w:ascii="宋体" w:hAnsi="宋体" w:eastAsia="宋体" w:cs="宋体"/>
          <w:bCs/>
          <w:color w:val="auto"/>
          <w:sz w:val="24"/>
          <w:highlight w:val="none"/>
        </w:rPr>
        <w:t xml:space="preserve">系统故障原因造成开标不成功的。</w:t>
      </w:r>
      <w:r/>
    </w:p>
    <w:p>
      <w:pPr>
        <w:ind w:left="479"/>
        <w:pageBreakBefore w:val="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21"/>
        <w:keepLines/>
        <w:keepNext/>
        <w:pageBreakBefore w:val="0"/>
        <w:spacing w:line="360" w:lineRule="auto"/>
        <w:rPr>
          <w:rFonts w:hint="eastAsia" w:ascii="宋体" w:hAnsi="宋体" w:eastAsia="宋体" w:cs="宋体"/>
          <w:b/>
          <w:bCs/>
          <w:color w:val="auto"/>
          <w:sz w:val="32"/>
          <w:szCs w:val="32"/>
          <w:highlight w:val="none"/>
        </w:rPr>
        <w:outlineLvl w:val="1"/>
      </w:pPr>
      <w:r/>
      <w:bookmarkStart w:id="162" w:name="_Toc120614219"/>
      <w:r>
        <w:rPr>
          <w:rFonts w:hint="eastAsia" w:ascii="宋体" w:hAnsi="宋体" w:eastAsia="宋体" w:cs="宋体"/>
          <w:b/>
          <w:bCs/>
          <w:color w:val="auto"/>
          <w:sz w:val="32"/>
          <w:szCs w:val="32"/>
          <w:highlight w:val="none"/>
        </w:rPr>
        <w:t xml:space="preserve">六、</w:t>
      </w:r>
      <w:bookmarkEnd w:id="159"/>
      <w:r/>
      <w:bookmarkEnd w:id="160"/>
      <w:r/>
      <w:bookmarkEnd w:id="161"/>
      <w:r>
        <w:rPr>
          <w:rFonts w:hint="eastAsia" w:ascii="宋体" w:hAnsi="宋体" w:eastAsia="宋体" w:cs="宋体"/>
          <w:b/>
          <w:bCs/>
          <w:color w:val="auto"/>
          <w:sz w:val="32"/>
          <w:szCs w:val="32"/>
          <w:highlight w:val="none"/>
        </w:rPr>
        <w:t xml:space="preserve">定标</w:t>
      </w:r>
      <w:bookmarkEnd w:id="162"/>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63" w:name="_Toc513029238"/>
      <w:r/>
      <w:bookmarkStart w:id="164" w:name="_Toc16938554"/>
      <w:r/>
      <w:bookmarkStart w:id="165" w:name="_Toc20823310"/>
      <w:r>
        <w:rPr>
          <w:rFonts w:hint="eastAsia" w:ascii="宋体" w:hAnsi="宋体" w:eastAsia="宋体" w:cs="宋体"/>
          <w:b/>
          <w:bCs/>
          <w:color w:val="auto"/>
          <w:sz w:val="28"/>
          <w:szCs w:val="28"/>
          <w:highlight w:val="none"/>
        </w:rPr>
        <w:t xml:space="preserve">27、</w:t>
      </w:r>
      <w:bookmarkEnd w:id="163"/>
      <w:r>
        <w:rPr>
          <w:rFonts w:hint="eastAsia" w:ascii="宋体" w:hAnsi="宋体" w:eastAsia="宋体" w:cs="宋体"/>
          <w:b/>
          <w:bCs/>
          <w:color w:val="auto"/>
          <w:sz w:val="28"/>
          <w:szCs w:val="28"/>
          <w:highlight w:val="none"/>
        </w:rPr>
        <w:t xml:space="preserve">确定</w:t>
      </w:r>
      <w:bookmarkEnd w:id="164"/>
      <w:r/>
      <w:bookmarkEnd w:id="165"/>
      <w:r>
        <w:rPr>
          <w:rFonts w:hint="eastAsia" w:ascii="宋体" w:hAnsi="宋体" w:eastAsia="宋体" w:cs="宋体"/>
          <w:b/>
          <w:bCs/>
          <w:color w:val="auto"/>
          <w:sz w:val="28"/>
          <w:szCs w:val="28"/>
          <w:highlight w:val="none"/>
        </w:rPr>
        <w:t xml:space="preserve">中标单位</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27.1中标候选人的选取原则和数量见招标文件第五章规定。</w:t>
      </w:r>
      <w:r/>
    </w:p>
    <w:p>
      <w:pPr>
        <w:ind w:firstLine="48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 采购人委托评委会直接确定排名第一的中标候选人为中标人。</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 </w:t>
      </w:r>
      <w:r>
        <w:rPr>
          <w:rFonts w:hint="eastAsia" w:ascii="宋体" w:hAnsi="宋体" w:eastAsia="宋体" w:cs="宋体"/>
          <w:color w:val="auto"/>
          <w:sz w:val="24"/>
          <w:szCs w:val="24"/>
          <w:highlight w:val="none"/>
        </w:rPr>
        <w:t xml:space="preserve">代理机构将在“江苏政府采购网”发布中标公告，公告期限为1个工作日。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27.4.2向采购人、代理机构行贿或者提供其他不正当利益的。</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 属于本文件规定的无效条件，但在评标过程中又未被评委会发现的。</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pageBreakBefore w:val="0"/>
        <w:spacing w:line="360" w:lineRule="auto"/>
        <w:rPr>
          <w:rFonts w:hint="eastAsia" w:ascii="宋体" w:hAnsi="宋体" w:eastAsia="宋体" w:cs="宋体"/>
          <w:color w:val="auto"/>
          <w:sz w:val="24"/>
          <w:szCs w:val="24"/>
          <w:highlight w:val="none"/>
        </w:rPr>
      </w:pPr>
      <w:r/>
      <w:bookmarkStart w:id="166" w:name="_Toc200451960"/>
      <w:r>
        <w:rPr>
          <w:rFonts w:hint="eastAsia" w:ascii="宋体" w:hAnsi="宋体" w:eastAsia="宋体" w:cs="宋体"/>
          <w:color w:val="auto"/>
          <w:sz w:val="24"/>
          <w:szCs w:val="24"/>
          <w:highlight w:val="none"/>
        </w:rPr>
        <w:t xml:space="preserve">27.5 有下列情形之一的，视为投标人串通投标，投标无效：</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22"/>
        <w:keepLines/>
        <w:keepNext/>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28、质疑处理</w:t>
      </w:r>
      <w:bookmarkEnd w:id="166"/>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附件15）要求的格式和内容进行填写。供应商如组成联合体参加投标，则《质疑函范本》中要求签字、盖章、加盖公章之处，联合体各方均须按要求签字、盖章、加盖公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投标人（含潜在投标人）对采购方式、招标文件中采购需求、供应商资格条件、评标方法和评标标准、合同文本及资格审查结果的询问、质疑请向采购人提出，由采购人负责答复。投标人对除上述事项以外其他事项的询问、质疑请向代理机构提出，由代理机构负责答复。</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采购人及代理机构只接收以纸质原件形式送达的质疑,建议投标人尽量通过邮寄方式提交质疑（采购人和代理机构不接受无快递运单号的快递）。</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采购人质疑接收人及联系方式，见本招标文件第一章。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代理机构质疑受理联系方式，见本招标文件第一章。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29、中标通知书</w:t>
      </w:r>
      <w:r/>
    </w:p>
    <w:p>
      <w:pPr>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1"/>
        <w:ind w:firstLine="48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1"/>
        <w:keepLines/>
        <w:keepNext/>
        <w:pageBreakBefore w:val="0"/>
        <w:spacing w:line="360" w:lineRule="auto"/>
        <w:rPr>
          <w:rFonts w:hint="eastAsia" w:ascii="宋体" w:hAnsi="宋体" w:eastAsia="宋体" w:cs="宋体"/>
          <w:b/>
          <w:bCs/>
          <w:color w:val="auto"/>
          <w:sz w:val="32"/>
          <w:szCs w:val="32"/>
          <w:highlight w:val="none"/>
        </w:rPr>
        <w:outlineLvl w:val="1"/>
      </w:pPr>
      <w:r/>
      <w:bookmarkStart w:id="167" w:name="_Toc20823308"/>
      <w:r/>
      <w:bookmarkStart w:id="168" w:name="_Toc120614220"/>
      <w:r/>
      <w:bookmarkStart w:id="169" w:name="_Toc513029236"/>
      <w:r/>
      <w:bookmarkStart w:id="170" w:name="_Toc16938552"/>
      <w:r>
        <w:rPr>
          <w:rFonts w:hint="eastAsia" w:ascii="宋体" w:hAnsi="宋体" w:eastAsia="宋体" w:cs="宋体"/>
          <w:b/>
          <w:bCs/>
          <w:color w:val="auto"/>
          <w:sz w:val="32"/>
          <w:szCs w:val="32"/>
          <w:highlight w:val="none"/>
        </w:rPr>
        <w:t xml:space="preserve">七、授予合同</w:t>
      </w:r>
      <w:bookmarkEnd w:id="167"/>
      <w:r/>
      <w:bookmarkEnd w:id="168"/>
      <w:r/>
      <w:bookmarkEnd w:id="169"/>
      <w:r/>
      <w:bookmarkEnd w:id="170"/>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71" w:name="_Toc16938553"/>
      <w:r/>
      <w:bookmarkStart w:id="172" w:name="_Toc513029237"/>
      <w:r/>
      <w:bookmarkStart w:id="173" w:name="_Toc20823309"/>
      <w:r>
        <w:rPr>
          <w:rFonts w:hint="eastAsia" w:ascii="宋体" w:hAnsi="宋体" w:eastAsia="宋体" w:cs="宋体"/>
          <w:b/>
          <w:bCs/>
          <w:color w:val="auto"/>
          <w:sz w:val="28"/>
          <w:szCs w:val="28"/>
          <w:highlight w:val="none"/>
        </w:rPr>
        <w:t xml:space="preserve">30、 签订合同</w:t>
      </w:r>
      <w:r/>
    </w:p>
    <w:p>
      <w:pPr>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b/>
          <w:bCs/>
          <w:color w:val="auto"/>
          <w:sz w:val="24"/>
          <w:szCs w:val="24"/>
          <w:highlight w:val="none"/>
        </w:rPr>
        <w:t xml:space="preserve">中标</w:t>
      </w:r>
      <w:r>
        <w:rPr>
          <w:rFonts w:hint="eastAsia" w:ascii="宋体" w:hAnsi="宋体" w:eastAsia="宋体" w:cs="宋体"/>
          <w:b/>
          <w:bCs/>
          <w:color w:val="auto"/>
          <w:sz w:val="24"/>
          <w:szCs w:val="24"/>
          <w:highlight w:val="none"/>
          <w:lang w:val="zh-CN"/>
        </w:rPr>
        <w:t xml:space="preserve">人应在中标结果公告之日起五个工作日内向</w:t>
      </w:r>
      <w:r>
        <w:rPr>
          <w:rFonts w:hint="eastAsia" w:ascii="宋体" w:hAnsi="宋体" w:eastAsia="宋体" w:cs="宋体"/>
          <w:b/>
          <w:bCs/>
          <w:color w:val="auto"/>
          <w:sz w:val="24"/>
          <w:szCs w:val="24"/>
          <w:highlight w:val="none"/>
        </w:rPr>
        <w:t xml:space="preserve">代理机构提供三份纸质版投标文件</w:t>
      </w:r>
      <w:r>
        <w:rPr>
          <w:rFonts w:hint="eastAsia" w:ascii="宋体" w:hAnsi="宋体" w:eastAsia="宋体" w:cs="宋体"/>
          <w:b/>
          <w:bCs/>
          <w:color w:val="auto"/>
          <w:sz w:val="24"/>
          <w:szCs w:val="24"/>
          <w:highlight w:val="none"/>
          <w:lang w:val="zh-CN"/>
        </w:rPr>
        <w:t xml:space="preserve">（须与上传电子档内容一致）</w:t>
      </w:r>
      <w:r>
        <w:rPr>
          <w:rFonts w:hint="eastAsia" w:ascii="宋体" w:hAnsi="宋体" w:eastAsia="宋体" w:cs="宋体"/>
          <w:b/>
          <w:bCs/>
          <w:color w:val="auto"/>
          <w:sz w:val="24"/>
          <w:szCs w:val="24"/>
          <w:highlight w:val="none"/>
        </w:rPr>
        <w:t xml:space="preserve">，否则不予签订合同。</w:t>
      </w:r>
      <w:r/>
    </w:p>
    <w:p>
      <w:pPr>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30.3签订合同后，中标人不得将合同标的进行转包。未经采购人同意，中标人也不得采用分包的形式履行合同，否则采购人有权终止合同。转包造成采购人损失的，中标人应承担相应赔偿责任。</w:t>
      </w:r>
      <w:r/>
    </w:p>
    <w:p>
      <w:pPr>
        <w:ind w:firstLine="422"/>
        <w:keepLines/>
        <w:keepNext/>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31、服务（包含与服务相关的货物）的追加、减少</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31.2采购结束后，采购人若由于各种客观原因，必须对采购项目所牵涉的服务进行适当的减少时，在双方协商一致的前提下，可以按照招标采购时的价格水平做相应的调减，并据此签订补充合同。</w:t>
      </w:r>
      <w:bookmarkEnd w:id="171"/>
      <w:r/>
      <w:bookmarkEnd w:id="172"/>
      <w:r/>
      <w:bookmarkEnd w:id="173"/>
      <w:r/>
      <w:r/>
    </w:p>
    <w:p>
      <w:pPr>
        <w:ind w:firstLine="422"/>
        <w:keepLines/>
        <w:keepNext/>
        <w:pageBreakBefore w:val="0"/>
        <w:spacing w:line="360" w:lineRule="auto"/>
        <w:rPr>
          <w:rFonts w:hint="eastAsia" w:ascii="宋体" w:hAnsi="宋体" w:eastAsia="宋体" w:cs="宋体"/>
          <w:b/>
          <w:bCs/>
          <w:color w:val="auto"/>
          <w:sz w:val="28"/>
          <w:szCs w:val="28"/>
          <w:highlight w:val="none"/>
        </w:rPr>
      </w:pPr>
      <w:r/>
      <w:bookmarkStart w:id="174" w:name="_Toc20823314"/>
      <w:r/>
      <w:bookmarkStart w:id="175" w:name="_Toc16938558"/>
      <w:r/>
      <w:bookmarkStart w:id="176" w:name="_Toc120614221"/>
      <w:r/>
      <w:bookmarkStart w:id="177" w:name="_Toc479757207"/>
      <w:r/>
      <w:bookmarkStart w:id="178" w:name="_Toc513029242"/>
      <w:r>
        <w:rPr>
          <w:rFonts w:hint="eastAsia" w:ascii="宋体" w:hAnsi="宋体" w:eastAsia="宋体" w:cs="宋体"/>
          <w:b/>
          <w:bCs/>
          <w:color w:val="auto"/>
          <w:sz w:val="28"/>
          <w:szCs w:val="28"/>
          <w:highlight w:val="none"/>
        </w:rPr>
        <w:t xml:space="preserve">32、政府采购履约资金扶持政策</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32.2</w:t>
      </w:r>
      <w:r>
        <w:rPr>
          <w:rFonts w:hint="eastAsia" w:ascii="宋体" w:hAnsi="宋体" w:eastAsia="宋体" w:cs="宋体"/>
          <w:color w:val="auto"/>
          <w:sz w:val="24"/>
          <w:szCs w:val="24"/>
          <w:highlight w:val="none"/>
          <w:u w:val="none"/>
          <w:lang w:val="en-US" w:eastAsia="zh-CN"/>
        </w:rPr>
        <w:t xml:space="preserve">本项目</w:t>
      </w:r>
      <w:r>
        <w:rPr>
          <w:rFonts w:hint="eastAsia" w:ascii="宋体" w:hAnsi="宋体" w:eastAsia="宋体" w:cs="宋体"/>
          <w:color w:val="auto"/>
          <w:sz w:val="24"/>
          <w:szCs w:val="24"/>
          <w:highlight w:val="none"/>
          <w:u w:val="none"/>
        </w:rPr>
        <w:t xml:space="preserve">履约保证金</w:t>
      </w:r>
      <w:r>
        <w:rPr>
          <w:rFonts w:hint="eastAsia" w:ascii="宋体" w:hAnsi="宋体" w:cs="宋体"/>
          <w:color w:val="auto"/>
          <w:sz w:val="24"/>
          <w:szCs w:val="24"/>
          <w:highlight w:val="none"/>
          <w:u w:val="none"/>
          <w:lang w:val="en-US" w:eastAsia="zh-CN"/>
        </w:rPr>
        <w:t xml:space="preserve">/</w:t>
      </w:r>
      <w:r>
        <w:rPr>
          <w:rFonts w:hint="eastAsia" w:ascii="宋体" w:hAnsi="宋体" w:cs="宋体"/>
          <w:color w:val="auto"/>
          <w:sz w:val="24"/>
          <w:szCs w:val="24"/>
          <w:highlight w:val="none"/>
          <w:lang w:val="en-US" w:eastAsia="zh-CN"/>
        </w:rPr>
        <w:t xml:space="preserve">(本项目不收取)，</w:t>
      </w:r>
      <w:r>
        <w:rPr>
          <w:rFonts w:hint="eastAsia" w:ascii="宋体" w:hAnsi="宋体" w:eastAsia="宋体" w:cs="宋体"/>
          <w:color w:val="auto"/>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72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174"/>
      <w:bookmarkEnd w:id="175"/>
      <w:bookmarkEnd w:id="176"/>
      <w:bookmarkEnd w:id="177"/>
      <w:bookmarkEnd w:id="178"/>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728"/>
        <w:spacing w:before="120" w:after="120" w:line="0" w:lineRule="atLeast"/>
        <w:rPr>
          <w:rFonts w:hint="eastAsia" w:ascii="宋体" w:hAnsi="宋体" w:eastAsia="宋体" w:cs="宋体"/>
          <w:b/>
          <w:color w:val="auto"/>
          <w:sz w:val="44"/>
          <w:highlight w:val="none"/>
        </w:rPr>
        <w:outlineLvl w:val="0"/>
      </w:pPr>
      <w:r/>
      <w:bookmarkStart w:id="179" w:name="_Toc120614244"/>
      <w:r/>
      <w:bookmarkStart w:id="180" w:name="_Toc20823346"/>
      <w:r/>
      <w:bookmarkStart w:id="181" w:name="_Toc16938590"/>
      <w:r/>
      <w:bookmarkStart w:id="182" w:name="_Toc479757211"/>
      <w:r/>
      <w:bookmarkStart w:id="183" w:name="_Toc462564139"/>
      <w:r/>
      <w:r/>
    </w:p>
    <w:p>
      <w:pPr>
        <w:pStyle w:val="728"/>
        <w:ind w:firstLine="2650"/>
        <w:spacing w:before="120" w:after="120" w:line="0" w:lineRule="atLeast"/>
        <w:rPr>
          <w:rFonts w:hint="eastAsia" w:ascii="宋体" w:hAnsi="宋体" w:eastAsia="宋体" w:cs="宋体"/>
          <w:b/>
          <w:color w:val="auto"/>
          <w:sz w:val="44"/>
          <w:highlight w:val="none"/>
        </w:rPr>
        <w:sectPr>
          <w:footerReference w:type="default" r:id="rId11"/>
          <w:footnotePr/>
          <w:endnotePr/>
          <w:type w:val="nextPage"/>
          <w:pgSz w:w="11906" w:h="16838" w:orient="portrait"/>
          <w:pgMar w:top="1418" w:right="1588" w:bottom="1418" w:left="1365" w:header="851" w:footer="907" w:gutter="0"/>
          <w:pgNumType w:start="1"/>
          <w:cols w:num="1" w:sep="0" w:space="720" w:equalWidth="1"/>
          <w:docGrid w:linePitch="360"/>
        </w:sectPr>
        <w:outlineLvl w:val="0"/>
      </w:pPr>
      <w:r>
        <w:rPr>
          <w:rFonts w:hint="eastAsia" w:ascii="宋体" w:hAnsi="宋体" w:eastAsia="宋体" w:cs="宋体"/>
          <w:b/>
          <w:color w:val="auto"/>
          <w:sz w:val="44"/>
          <w:highlight w:val="none"/>
        </w:rPr>
      </w:r>
      <w:r/>
    </w:p>
    <w:p>
      <w:pPr>
        <w:pStyle w:val="728"/>
        <w:ind w:firstLine="2650"/>
        <w:spacing w:before="120" w:after="120" w:line="0" w:lineRule="atLeast"/>
        <w:rPr>
          <w:rFonts w:hint="eastAsia" w:ascii="宋体" w:hAnsi="宋体" w:eastAsia="宋体" w:cs="宋体"/>
          <w:b/>
          <w:color w:val="auto"/>
          <w:sz w:val="44"/>
          <w:highlight w:val="yellow"/>
        </w:rPr>
        <w:outlineLvl w:val="0"/>
      </w:pPr>
      <w:r/>
      <w:bookmarkStart w:id="184" w:name="_Toc186493269"/>
      <w:r>
        <w:rPr>
          <w:rFonts w:hint="eastAsia" w:ascii="宋体" w:hAnsi="宋体" w:eastAsia="宋体" w:cs="宋体"/>
          <w:b/>
          <w:color w:val="auto"/>
          <w:sz w:val="44"/>
          <w:highlight w:val="none"/>
        </w:rPr>
        <w:t xml:space="preserve">第三章 采购需求</w:t>
      </w:r>
      <w:bookmarkEnd w:id="179"/>
      <w:r/>
      <w:bookmarkEnd w:id="180"/>
      <w:r/>
      <w:bookmarkEnd w:id="181"/>
      <w:r/>
      <w:bookmarkEnd w:id="184"/>
      <w:r/>
      <w:r/>
    </w:p>
    <w:p>
      <w:pPr>
        <w:pStyle w:val="709"/>
        <w:jc w:val="left"/>
        <w:pageBreakBefore w:val="0"/>
        <w:spacing w:before="0" w:after="0" w:line="360" w:lineRule="auto"/>
        <w:rPr>
          <w:rFonts w:hint="eastAsia" w:ascii="宋体" w:hAnsi="宋体" w:eastAsia="宋体" w:cs="宋体"/>
          <w:b/>
          <w:bCs/>
          <w:color w:val="auto"/>
          <w:sz w:val="24"/>
          <w:szCs w:val="24"/>
          <w:highlight w:val="none"/>
          <w:lang w:eastAsia="zh-CN"/>
        </w:rPr>
      </w:pPr>
      <w:r/>
      <w:bookmarkStart w:id="185" w:name="_Toc49090575"/>
      <w:r/>
      <w:bookmarkStart w:id="186" w:name="_Toc26554093"/>
      <w:r/>
      <w:bookmarkStart w:id="187" w:name="_Toc120614281"/>
      <w:r>
        <w:rPr>
          <w:rFonts w:hint="eastAsia" w:ascii="宋体" w:hAnsi="宋体" w:eastAsia="宋体" w:cs="宋体"/>
          <w:b/>
          <w:bCs/>
          <w:color w:val="auto"/>
          <w:sz w:val="24"/>
          <w:szCs w:val="24"/>
          <w:highlight w:val="none"/>
        </w:rPr>
        <w:t xml:space="preserve">一、项目</w:t>
      </w:r>
      <w:r>
        <w:rPr>
          <w:rFonts w:hint="eastAsia" w:ascii="宋体" w:hAnsi="宋体" w:eastAsia="宋体" w:cs="宋体"/>
          <w:b/>
          <w:bCs/>
          <w:color w:val="auto"/>
          <w:sz w:val="24"/>
          <w:szCs w:val="24"/>
          <w:highlight w:val="none"/>
          <w:lang w:val="en-US" w:eastAsia="zh-CN"/>
        </w:rPr>
        <w:t xml:space="preserve">概况</w:t>
      </w:r>
      <w:r/>
    </w:p>
    <w:p>
      <w:pPr>
        <w:pStyle w:val="938"/>
        <w:ind w:firstLine="566"/>
        <w:spacing w:line="360" w:lineRule="auto"/>
        <w:rPr>
          <w:rFonts w:hAnsi="宋体"/>
          <w:color w:val="auto"/>
        </w:rPr>
      </w:pPr>
      <w:r/>
      <w:bookmarkStart w:id="188" w:name="_Hlk214554512"/>
      <w:r>
        <w:rPr>
          <w:rFonts w:hint="eastAsia" w:ascii="宋体" w:hAnsi="宋体" w:eastAsia="宋体"/>
          <w:sz w:val="24"/>
          <w:szCs w:val="24"/>
        </w:rPr>
        <w:t xml:space="preserve">本项目为园区地质灾害危险性区域评估项目，评估面积约</w:t>
      </w:r>
      <w:r>
        <w:rPr>
          <w:rFonts w:ascii="宋体" w:hAnsi="宋体" w:eastAsia="宋体"/>
          <w:sz w:val="24"/>
          <w:szCs w:val="24"/>
        </w:rPr>
        <w:t xml:space="preserve">27.46</w:t>
      </w:r>
      <w:r>
        <w:rPr>
          <w:rFonts w:hint="eastAsia" w:ascii="宋体" w:hAnsi="宋体" w:eastAsia="宋体"/>
          <w:bCs/>
          <w:sz w:val="24"/>
          <w:szCs w:val="24"/>
        </w:rPr>
        <w:t xml:space="preserve">km</w:t>
      </w:r>
      <w:r>
        <w:rPr>
          <w:rFonts w:hint="eastAsia" w:ascii="宋体" w:hAnsi="宋体" w:eastAsia="宋体"/>
          <w:bCs/>
          <w:sz w:val="24"/>
          <w:szCs w:val="24"/>
          <w:vertAlign w:val="superscript"/>
        </w:rPr>
        <w:t xml:space="preserve">2</w:t>
      </w:r>
      <w:r>
        <w:rPr>
          <w:rFonts w:hint="eastAsia" w:ascii="宋体" w:hAnsi="宋体" w:eastAsia="宋体"/>
          <w:bCs/>
          <w:sz w:val="24"/>
          <w:szCs w:val="24"/>
        </w:rPr>
        <w:t xml:space="preserve">。</w:t>
      </w:r>
      <w:r>
        <w:rPr>
          <w:rFonts w:ascii="宋体" w:hAnsi="宋体" w:eastAsia="宋体"/>
          <w:sz w:val="24"/>
          <w:szCs w:val="24"/>
        </w:rPr>
        <w:t xml:space="preserve">供应商负责对本项目进行地质灾害危险性区域评估，并建立区域评估成果查询系统，以简化建设项目评估程序和降低成本，提高用地审批效率，更好地服务区内项目建设</w:t>
      </w:r>
      <w:bookmarkEnd w:id="188"/>
      <w:r>
        <w:rPr>
          <w:rFonts w:hAnsi="宋体"/>
          <w:color w:val="auto"/>
        </w:rPr>
        <w:t xml:space="preserve">。</w:t>
      </w:r>
      <w:r/>
    </w:p>
    <w:p>
      <w:pPr>
        <w:pStyle w:val="709"/>
        <w:jc w:val="left"/>
        <w:pageBreakBefore w:val="0"/>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b/>
          <w:sz w:val="24"/>
          <w:szCs w:val="24"/>
        </w:rPr>
        <w:t xml:space="preserve">评估依据、标准</w:t>
      </w:r>
      <w:r/>
    </w:p>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1.《地质灾害防治条例》（国务院令第394号）；</w:t>
      </w:r>
      <w:r/>
    </w:p>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2.《国土资源部关于加强地质灾害危险性评估工作的通知》（国土资发〔2004〕69号）；</w:t>
      </w:r>
      <w:r/>
    </w:p>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3.《江苏省地质环境保护条例》（江苏省第十一届人民代表大会常务委员会公告第4号）；</w:t>
      </w:r>
      <w:r/>
    </w:p>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4.《关于印发“江苏省地质灾害危险性评估技术要求”的通知》（苏国土资发〔2010〕353号）；</w:t>
      </w:r>
      <w:r/>
    </w:p>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5.《关于加强地质灾害危险性评估工作管理的意见》（苏国土资发〔2011〕216号）；</w:t>
      </w:r>
      <w:r/>
    </w:p>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6.《地质灾害危险性评估规范》（GB/T 40112-2021）；</w:t>
      </w:r>
      <w:r/>
    </w:p>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7.《江苏省国土资源厅关于印发江苏省“三区”地质灾害危险性区域评估试点工作方案的通知》（苏国土资发〔2016〕144号）；</w:t>
      </w:r>
      <w:r/>
    </w:p>
    <w:p>
      <w:pPr>
        <w:ind w:firstLine="480"/>
        <w:spacing w:line="360" w:lineRule="auto"/>
        <w:tabs>
          <w:tab w:val="left" w:pos="945" w:leader="none"/>
        </w:tabs>
        <w:rPr>
          <w:rFonts w:ascii="宋体" w:hAnsi="宋体" w:eastAsia="宋体"/>
          <w:bCs/>
          <w:sz w:val="24"/>
          <w:szCs w:val="24"/>
        </w:rPr>
        <w:outlineLvl w:val="0"/>
      </w:pPr>
      <w:r/>
      <w:bookmarkStart w:id="189" w:name="_Toc110254018"/>
      <w:r>
        <w:rPr>
          <w:rFonts w:hint="eastAsia" w:ascii="宋体" w:hAnsi="宋体" w:eastAsia="宋体"/>
          <w:bCs/>
          <w:sz w:val="24"/>
          <w:szCs w:val="24"/>
        </w:rPr>
        <w:t xml:space="preserve">8.其他相关法律法规和行业规范。</w:t>
      </w:r>
      <w:bookmarkEnd w:id="189"/>
      <w:r/>
      <w:r/>
    </w:p>
    <w:p>
      <w:pPr>
        <w:ind w:firstLine="480"/>
        <w:spacing w:line="360" w:lineRule="auto"/>
        <w:tabs>
          <w:tab w:val="left" w:pos="945" w:leader="none"/>
        </w:tabs>
        <w:rPr>
          <w:rFonts w:hint="eastAsia" w:ascii="宋体" w:hAnsi="宋体" w:eastAsia="宋体"/>
          <w:bCs/>
          <w:sz w:val="24"/>
          <w:szCs w:val="24"/>
        </w:rPr>
        <w:outlineLvl w:val="0"/>
      </w:pPr>
      <w:r/>
      <w:bookmarkStart w:id="190" w:name="_Toc110254019"/>
      <w:r>
        <w:rPr>
          <w:rFonts w:hint="eastAsia" w:ascii="宋体" w:hAnsi="宋体" w:eastAsia="宋体"/>
          <w:bCs/>
          <w:sz w:val="24"/>
          <w:szCs w:val="24"/>
        </w:rPr>
        <w:t xml:space="preserve">以上标准的采用并非是全面以及最新的，如有不一致的，以效力较高或技术标准较高的文件规定为准。</w:t>
      </w:r>
      <w:bookmarkEnd w:id="190"/>
      <w:r/>
      <w:r/>
    </w:p>
    <w:p>
      <w:pPr>
        <w:ind w:firstLine="480"/>
        <w:spacing w:line="360" w:lineRule="auto"/>
        <w:tabs>
          <w:tab w:val="left" w:pos="945" w:leader="none"/>
        </w:tabs>
        <w:rPr>
          <w:rFonts w:ascii="宋体" w:hAnsi="宋体" w:eastAsia="宋体"/>
          <w:b/>
          <w:sz w:val="24"/>
          <w:szCs w:val="24"/>
        </w:rPr>
        <w:outlineLvl w:val="0"/>
      </w:pPr>
      <w:r/>
      <w:bookmarkStart w:id="191" w:name="_Toc110254020"/>
      <w:r>
        <w:rPr>
          <w:rFonts w:hint="eastAsia" w:ascii="宋体" w:hAnsi="宋体" w:eastAsia="宋体"/>
          <w:b/>
          <w:sz w:val="24"/>
          <w:szCs w:val="24"/>
        </w:rPr>
        <w:t xml:space="preserve">三、具体服务内容及要求</w:t>
      </w:r>
      <w:bookmarkEnd w:id="191"/>
      <w:r/>
      <w:r/>
    </w:p>
    <w:p>
      <w:pPr>
        <w:ind w:left="-1" w:firstLine="480"/>
        <w:jc w:val="left"/>
        <w:spacing w:line="360" w:lineRule="auto"/>
        <w:rPr>
          <w:rFonts w:ascii="宋体" w:hAnsi="宋体" w:eastAsia="宋体"/>
          <w:b/>
          <w:sz w:val="24"/>
          <w:szCs w:val="24"/>
        </w:rPr>
      </w:pPr>
      <w:r/>
      <w:bookmarkStart w:id="192" w:name="OLE_LINK34"/>
      <w:r/>
      <w:bookmarkStart w:id="193" w:name="OLE_LINK67"/>
      <w:r/>
      <w:bookmarkStart w:id="194" w:name="OLE_LINK68"/>
      <w:r>
        <w:rPr>
          <w:rFonts w:hint="eastAsia" w:ascii="宋体" w:hAnsi="宋体" w:eastAsia="宋体"/>
          <w:b/>
          <w:sz w:val="24"/>
          <w:szCs w:val="24"/>
        </w:rPr>
        <w:t xml:space="preserve">1.项目背景</w:t>
      </w:r>
      <w:r/>
    </w:p>
    <w:p>
      <w:pPr>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本项目位于如东县洋口镇，主要对园区进行地质灾害危险性区域评估，评估面积约</w:t>
      </w:r>
      <w:r>
        <w:rPr>
          <w:rFonts w:ascii="宋体" w:hAnsi="宋体" w:eastAsia="宋体"/>
          <w:bCs/>
          <w:sz w:val="24"/>
          <w:szCs w:val="24"/>
        </w:rPr>
        <w:t xml:space="preserve">27.46</w:t>
      </w:r>
      <w:r>
        <w:rPr>
          <w:rFonts w:hint="eastAsia" w:ascii="宋体" w:hAnsi="宋体" w:eastAsia="宋体"/>
          <w:bCs/>
          <w:sz w:val="24"/>
          <w:szCs w:val="24"/>
        </w:rPr>
        <w:t xml:space="preserve">km</w:t>
      </w:r>
      <w:r>
        <w:rPr>
          <w:rFonts w:hint="eastAsia" w:ascii="宋体" w:hAnsi="宋体" w:eastAsia="宋体"/>
          <w:bCs/>
          <w:sz w:val="24"/>
          <w:szCs w:val="24"/>
          <w:vertAlign w:val="superscript"/>
        </w:rPr>
        <w:t xml:space="preserve">2</w:t>
      </w:r>
      <w:r>
        <w:rPr>
          <w:rFonts w:hint="eastAsia" w:ascii="宋体" w:hAnsi="宋体" w:eastAsia="宋体"/>
          <w:bCs/>
          <w:sz w:val="24"/>
          <w:szCs w:val="24"/>
        </w:rPr>
        <w:t xml:space="preserve">。</w:t>
      </w:r>
      <w:r/>
    </w:p>
    <w:p>
      <w:pPr>
        <w:ind w:firstLine="480"/>
        <w:spacing w:line="360" w:lineRule="auto"/>
        <w:rPr>
          <w:rFonts w:ascii="宋体" w:hAnsi="宋体" w:eastAsia="宋体"/>
          <w:b/>
          <w:sz w:val="24"/>
          <w:szCs w:val="24"/>
        </w:rPr>
      </w:pPr>
      <w:r>
        <w:rPr>
          <w:rFonts w:hint="eastAsia" w:ascii="宋体" w:hAnsi="宋体" w:eastAsia="宋体"/>
          <w:b/>
          <w:sz w:val="24"/>
          <w:szCs w:val="24"/>
        </w:rPr>
        <w:t xml:space="preserve">2.主要工作任务</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本次地质灾害危险性区域评估工作目的是紧密结合区域总体规划，根据相关规范、要求和已有的各方面地质资料，有针对性地部署地质环境调查、水文地质、工程地质钻探等工作，在全面分析成果资料的基础上，开展地质灾害危险性区域评估，并建立区域评估成果查询系统，以简化建设项目评估程序和降低成本，提高用地审批效率，更好地服务区内项目建设。</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主要任务是：</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（1）全面收集分析工作区气象、水文、水工环地质以及总体规划、地质勘察等各类资料；</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（2）开展地质灾害调查，基本查明工作区地质灾害分布发育特征、形成条件和诱发因素；</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（3）有针对性地开展工程地质、水文地质调查及补充钻探工作，全面查清工作区水文地质、工程地质条件；</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（4）分析论证工作区各种地质灾害的易发性、危险性，并进行现状、预测和综合评估；开展建设场地适宜性评价，并提出防治地质灾害的措施与建议；</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（5）并建立地质灾害危险性区域评估成果查询系统，以简化建设项目评估程序和降低成本，提高用地审批效率，更好地服务区内项目建设。</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（6）评估成果通过审查，提交建设单位使用。</w:t>
      </w:r>
      <w:r/>
    </w:p>
    <w:p>
      <w:pPr>
        <w:ind w:firstLine="480"/>
        <w:spacing w:line="360" w:lineRule="auto"/>
        <w:rPr>
          <w:rFonts w:ascii="宋体" w:hAnsi="宋体" w:eastAsia="宋体"/>
          <w:b/>
          <w:sz w:val="24"/>
          <w:szCs w:val="24"/>
        </w:rPr>
      </w:pPr>
      <w:r>
        <w:rPr>
          <w:rFonts w:hint="eastAsia" w:ascii="宋体" w:hAnsi="宋体" w:eastAsia="宋体"/>
          <w:b/>
          <w:sz w:val="24"/>
          <w:szCs w:val="24"/>
        </w:rPr>
        <w:t xml:space="preserve">3.评估内容</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通过对评估区基础环境地质资料分析和现场调查，查明评估区地质环境条件基本特征，查明评估区地质灾害的类型、分布规模、特征、形成条件及诱发因素，分析论证工程建设区各种地质灾害的危险性，并在此基础上进行地质灾害危险性现状评估；结合本区地质环境条件和建设规划特点，对评估区工程建设可能引发或遭受地质灾害的危险性作出预测评估，并进行地质灾害危险性综合分区评估及建设用地适宜性评价，提出地质灾害防治措施和建议。</w:t>
      </w:r>
      <w:r/>
    </w:p>
    <w:p>
      <w:pPr>
        <w:ind w:firstLine="480"/>
        <w:spacing w:line="360" w:lineRule="auto"/>
        <w:rPr>
          <w:rFonts w:ascii="宋体" w:hAnsi="宋体" w:eastAsia="宋体"/>
          <w:b/>
          <w:sz w:val="24"/>
          <w:szCs w:val="24"/>
        </w:rPr>
      </w:pPr>
      <w:r>
        <w:rPr>
          <w:rFonts w:hint="eastAsia" w:ascii="宋体" w:hAnsi="宋体" w:eastAsia="宋体"/>
          <w:b/>
          <w:sz w:val="24"/>
          <w:szCs w:val="24"/>
        </w:rPr>
        <w:t xml:space="preserve">4.评估要求</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本次工作采用资料收集、野外调查和综合分析研究相结合的技术路线，即在充分收集和分析评估区区域地质、水文地质、工程地质、环境地质等地质背景资料的基础上，根据地质灾害发育的地质背景和地质环境的具体情况，有重点地开展地质灾害调查，综合运用遥感、钻探、取样测试等手段，查明评估区地质灾害的类型、发育特征，分析工程建设、人类活动与地质环境的相互关系和演化趋势，在此基础上对区内地质灾害的危险性进行分析评估。</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（1）资料收集</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全面收集工作区相关的气象水文、地质及水文地质、工程勘察、地质灾害监测等方面的资料，了解工作区地质环境背景和地质灾害分布发育情况。收集开发区建设规划、专项规划、土地利用规划等各类规划，明确评估区工程建设类型及其对地质环境扰动特点。</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2）地质环境调查。调查评估区地貌成因和形态类型，微地貌分布特征，分析评价地貌形态、高程及其对工程的影响。调查评估区地层岩性的分布特征，褶皱、断裂发育特点，分析评估区及邻近地区区域地质背景，地质构造与地震地质特征，确定地壳稳定性类型。调查评估区及附近第四纪地层成因时代及埋藏分布与岩性特征。</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开展水文地质调查。查明地下水类型、水文地质结构特征和补迳排条件，调查地下水开发利用情况、地下水水位及动态特征，调查精度应不低于1：10000区域水文地质调查要求。水文地质钻孔数量一般不少于1个/10km</w:t>
      </w:r>
      <w:r>
        <w:rPr>
          <w:rFonts w:hint="eastAsia" w:ascii="宋体" w:hAnsi="宋体" w:eastAsia="宋体"/>
          <w:bCs/>
          <w:sz w:val="24"/>
          <w:szCs w:val="24"/>
          <w:vertAlign w:val="superscript"/>
        </w:rPr>
        <w:t xml:space="preserve">2</w:t>
      </w:r>
      <w:r>
        <w:rPr>
          <w:rFonts w:hint="eastAsia" w:ascii="宋体" w:hAnsi="宋体" w:eastAsia="宋体"/>
          <w:bCs/>
          <w:sz w:val="24"/>
          <w:szCs w:val="24"/>
        </w:rPr>
        <w:t xml:space="preserve">（面积小于5km2的开发区至少有1个水文地质钻孔），如收集的资料达不到要求，将补充开展水文地质钻探。分析地下水类型、含水岩组特征及分布规律，阐明含水层类型、成因时代、岩性、富水性、埋藏条件，地下水的补给、径流、排泄条件和水化学类型等。</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调查评估区工程地质条件、不良工程地质现象，调查精度达到1：5000工程地质调查要求。每个工程地质分区钻孔数量不少于1个/km</w:t>
      </w:r>
      <w:r>
        <w:rPr>
          <w:rFonts w:hint="eastAsia" w:ascii="宋体" w:hAnsi="宋体" w:eastAsia="宋体"/>
          <w:bCs/>
          <w:sz w:val="24"/>
          <w:szCs w:val="24"/>
          <w:vertAlign w:val="superscript"/>
        </w:rPr>
        <w:t xml:space="preserve">2</w:t>
      </w:r>
      <w:r>
        <w:rPr>
          <w:rFonts w:hint="eastAsia" w:ascii="宋体" w:hAnsi="宋体" w:eastAsia="宋体"/>
          <w:bCs/>
          <w:sz w:val="24"/>
          <w:szCs w:val="24"/>
        </w:rPr>
        <w:t xml:space="preserve">，每个工程地质分区都应满足钻孔控制要求，如收集的资料达不到要求，补充开展工程地质钻探。</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野外调查应充分了解项目建设特点的基础上，仔细分析、研究和评价项目建设与地质环境之间可能相互产生的影响，以建设性思路，高质量、前瞻性地做好地质灾害评估工作。同时根据评估区地质环境条件和建设规划特点，对评估区进行野外地质环境的调查（包含评估区工程建设的特点及人类工程活动对地质环境的影响等），并结合工程钻机对评估区的工程地质、水文地质进行调查，充分查明评估区工程地质条件、不良工程地质现象、地下水类型、水文地质结构特征和补迳排条件等情况，为区域评估报告的编写提供必要的数据支撑。</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（3）地质灾害调查。基本查明评估区及周边已发生（或潜在）各种地质灾害的形成条件、分布类型、活动规模、变形特征、诱发因素与形成机制，对其发育程度进行初步评价。针对不同灾种进行重点调查。</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（4）综合研究及地质灾害危险性区域评估</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根据地质灾害危险性评估、区域评估等有关规范、技术要求，开展开发区地质灾害危险性的现状、预测和综合评估，结合未来的工程建设情况，分工况进行预测和综合评估。</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（5）建立地质灾害危险性评估查询成果库。</w:t>
      </w:r>
      <w:r/>
    </w:p>
    <w:p>
      <w:pPr>
        <w:ind w:firstLine="480"/>
        <w:spacing w:line="360" w:lineRule="auto"/>
        <w:rPr>
          <w:rFonts w:ascii="宋体" w:hAnsi="宋体" w:eastAsia="宋体"/>
          <w:b/>
          <w:bCs/>
          <w:sz w:val="24"/>
          <w:szCs w:val="24"/>
        </w:rPr>
      </w:pPr>
      <w:r>
        <w:rPr>
          <w:rFonts w:hint="eastAsia" w:ascii="宋体" w:hAnsi="宋体" w:eastAsia="宋体"/>
          <w:b/>
          <w:bCs/>
          <w:sz w:val="24"/>
          <w:szCs w:val="24"/>
        </w:rPr>
        <w:t xml:space="preserve">5.</w:t>
      </w:r>
      <w:r>
        <w:rPr>
          <w:rFonts w:ascii="宋体" w:hAnsi="宋体" w:eastAsia="宋体"/>
          <w:b/>
          <w:sz w:val="24"/>
          <w:szCs w:val="24"/>
        </w:rPr>
        <w:t xml:space="preserve"> </w:t>
      </w:r>
      <w:r>
        <w:rPr>
          <w:rFonts w:hint="eastAsia" w:ascii="宋体" w:hAnsi="宋体" w:eastAsia="宋体"/>
          <w:b/>
          <w:bCs/>
          <w:sz w:val="24"/>
          <w:szCs w:val="24"/>
        </w:rPr>
        <w:t xml:space="preserve">成果文件要求</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成果构成：包括但不限于《园区地质灾害危险性区域评估报告》：</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1）提供纸质版成果文件4份，电子文件1份；</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2）提供成果文件文本规格为A3或A4，包括报告，图纸等，要求胶装。</w:t>
      </w:r>
      <w:r/>
    </w:p>
    <w:p>
      <w:pPr>
        <w:ind w:firstLine="520"/>
        <w:spacing w:line="360" w:lineRule="auto"/>
        <w:tabs>
          <w:tab w:val="left" w:pos="210" w:leader="none"/>
          <w:tab w:val="left" w:pos="840" w:leader="none"/>
          <w:tab w:val="left" w:pos="1260" w:leader="none"/>
        </w:tabs>
        <w:rPr>
          <w:rFonts w:ascii="宋体" w:hAnsi="宋体" w:eastAsia="宋体"/>
          <w:bCs/>
          <w:sz w:val="24"/>
          <w:szCs w:val="24"/>
        </w:rPr>
      </w:pPr>
      <w:r>
        <w:rPr>
          <w:rFonts w:hint="eastAsia" w:ascii="宋体" w:hAnsi="宋体" w:eastAsia="宋体"/>
          <w:bCs/>
          <w:sz w:val="24"/>
          <w:szCs w:val="24"/>
        </w:rPr>
        <w:t xml:space="preserve">3）电子文件即成果文件的电子版本，以PDF格式提供。</w:t>
      </w:r>
      <w:bookmarkEnd w:id="192"/>
      <w:r/>
      <w:r/>
    </w:p>
    <w:p>
      <w:pPr>
        <w:ind w:firstLine="520"/>
        <w:spacing w:line="360" w:lineRule="auto"/>
        <w:tabs>
          <w:tab w:val="left" w:pos="210" w:leader="none"/>
          <w:tab w:val="left" w:pos="840" w:leader="none"/>
          <w:tab w:val="left" w:pos="1260" w:leader="none"/>
        </w:tabs>
        <w:rPr>
          <w:rFonts w:ascii="宋体" w:hAnsi="宋体" w:eastAsia="宋体"/>
          <w:b/>
          <w:sz w:val="24"/>
          <w:szCs w:val="24"/>
        </w:rPr>
      </w:pPr>
      <w:r>
        <w:rPr>
          <w:rFonts w:hint="eastAsia" w:ascii="宋体" w:hAnsi="宋体" w:eastAsia="宋体"/>
          <w:b/>
          <w:sz w:val="24"/>
          <w:szCs w:val="24"/>
        </w:rPr>
        <w:t xml:space="preserve">6.验收要求</w:t>
      </w:r>
      <w:r/>
    </w:p>
    <w:p>
      <w:pPr>
        <w:ind w:firstLine="520"/>
        <w:spacing w:line="360" w:lineRule="auto"/>
        <w:tabs>
          <w:tab w:val="left" w:pos="210" w:leader="none"/>
          <w:tab w:val="left" w:pos="840" w:leader="none"/>
          <w:tab w:val="left" w:pos="1260" w:leader="none"/>
        </w:tabs>
        <w:rPr>
          <w:rFonts w:ascii="宋体" w:hAnsi="宋体" w:eastAsia="宋体"/>
          <w:bCs/>
          <w:sz w:val="24"/>
          <w:szCs w:val="24"/>
        </w:rPr>
      </w:pPr>
      <w:r>
        <w:rPr>
          <w:rFonts w:hint="eastAsia" w:ascii="宋体" w:hAnsi="宋体" w:eastAsia="宋体"/>
          <w:bCs/>
          <w:sz w:val="24"/>
          <w:szCs w:val="24"/>
        </w:rPr>
        <w:t xml:space="preserve">交付成果须符合国家及省市相关法律法规、政策文件和相关规划，并满足采购人要求，经专家评审论证通过，并经采购人审核通过。</w:t>
      </w:r>
      <w:bookmarkEnd w:id="193"/>
      <w:r/>
      <w:bookmarkEnd w:id="194"/>
      <w:r/>
      <w:r/>
    </w:p>
    <w:p>
      <w:pPr>
        <w:ind w:firstLine="520"/>
        <w:spacing w:line="360" w:lineRule="auto"/>
        <w:tabs>
          <w:tab w:val="left" w:pos="210" w:leader="none"/>
          <w:tab w:val="left" w:pos="840" w:leader="none"/>
          <w:tab w:val="left" w:pos="1260" w:leader="none"/>
        </w:tabs>
        <w:rPr>
          <w:rFonts w:ascii="宋体" w:hAnsi="宋体" w:eastAsia="宋体"/>
          <w:bCs/>
          <w:sz w:val="24"/>
          <w:szCs w:val="24"/>
        </w:rPr>
      </w:pPr>
      <w:r/>
      <w:bookmarkStart w:id="195" w:name="OLE_LINK44"/>
      <w:r/>
      <w:bookmarkStart w:id="196" w:name="OLE_LINK45"/>
      <w:r>
        <w:rPr>
          <w:rFonts w:hint="eastAsia" w:ascii="宋体" w:hAnsi="宋体" w:eastAsia="宋体"/>
          <w:b/>
          <w:sz w:val="24"/>
          <w:szCs w:val="24"/>
        </w:rPr>
        <w:t xml:space="preserve">7.</w:t>
      </w:r>
      <w:r>
        <w:rPr>
          <w:rFonts w:hint="eastAsia" w:ascii="宋体" w:hAnsi="宋体" w:eastAsia="宋体"/>
          <w:b/>
          <w:bCs/>
          <w:sz w:val="24"/>
          <w:szCs w:val="24"/>
        </w:rPr>
        <w:t xml:space="preserve">保密要求</w:t>
      </w:r>
      <w:r/>
    </w:p>
    <w:p>
      <w:pPr>
        <w:ind w:firstLine="520"/>
        <w:spacing w:line="360" w:lineRule="auto"/>
        <w:tabs>
          <w:tab w:val="left" w:pos="210" w:leader="none"/>
          <w:tab w:val="left" w:pos="840" w:leader="none"/>
          <w:tab w:val="left" w:pos="1260" w:leader="none"/>
        </w:tabs>
        <w:rPr>
          <w:rFonts w:ascii="宋体" w:hAnsi="宋体" w:eastAsia="宋体"/>
          <w:bCs/>
          <w:sz w:val="24"/>
          <w:szCs w:val="24"/>
        </w:rPr>
      </w:pPr>
      <w:r>
        <w:rPr>
          <w:rFonts w:hint="eastAsia" w:ascii="宋体" w:hAnsi="宋体" w:eastAsia="宋体"/>
          <w:bCs/>
          <w:sz w:val="24"/>
          <w:szCs w:val="24"/>
        </w:rPr>
        <w:t xml:space="preserve">（1）成交供应商必须完全同意，本项目成果的著作权、版权、专利权和使用权归采购人所有（署名权除外），采购人完全享有自由处置该项目成果的权利。</w:t>
      </w:r>
      <w:r/>
    </w:p>
    <w:p>
      <w:pPr>
        <w:ind w:firstLine="520"/>
        <w:spacing w:line="360" w:lineRule="auto"/>
        <w:tabs>
          <w:tab w:val="left" w:pos="210" w:leader="none"/>
          <w:tab w:val="left" w:pos="840" w:leader="none"/>
          <w:tab w:val="left" w:pos="1260" w:leader="none"/>
        </w:tabs>
        <w:rPr>
          <w:rFonts w:ascii="宋体" w:hAnsi="宋体" w:eastAsia="宋体"/>
          <w:bCs/>
          <w:sz w:val="24"/>
          <w:szCs w:val="24"/>
        </w:rPr>
      </w:pPr>
      <w:r>
        <w:rPr>
          <w:rFonts w:hint="eastAsia" w:ascii="宋体" w:hAnsi="宋体" w:eastAsia="宋体"/>
          <w:bCs/>
          <w:sz w:val="24"/>
          <w:szCs w:val="24"/>
        </w:rPr>
        <w:t xml:space="preserve">（2）成交供应商必须对采购人提供的属于国家秘密以及商业秘密及个人隐私信息等工作秘密资料、调查数据保密，未经采购人书面同意，成交供应商不得泄露以上相关成果内容。如查实成交供应商确有泄密行为，采购人有权拒付全部服务报酬，并依法追究成交供应商的法律及赔偿责任。成交供应商的保密责任，不因本项目合同的中止或解除而失效。</w:t>
      </w:r>
      <w:r/>
    </w:p>
    <w:p>
      <w:pPr>
        <w:ind w:firstLine="520"/>
        <w:spacing w:line="360" w:lineRule="auto"/>
        <w:tabs>
          <w:tab w:val="left" w:pos="210" w:leader="none"/>
          <w:tab w:val="left" w:pos="840" w:leader="none"/>
          <w:tab w:val="left" w:pos="1260" w:leader="none"/>
        </w:tabs>
        <w:rPr>
          <w:rFonts w:ascii="宋体" w:hAnsi="宋体" w:eastAsia="宋体"/>
          <w:bCs/>
          <w:sz w:val="24"/>
          <w:szCs w:val="24"/>
        </w:rPr>
      </w:pPr>
      <w:r>
        <w:rPr>
          <w:rFonts w:hint="eastAsia" w:ascii="宋体" w:hAnsi="宋体" w:eastAsia="宋体"/>
          <w:bCs/>
          <w:sz w:val="24"/>
          <w:szCs w:val="24"/>
        </w:rPr>
        <w:t xml:space="preserve">（3）双方均应保护对方的知识产权，未经对方同意，任何一方均不得将对方的资料及文件擅自修改、复制或向第三人转让或用于本合同项目外的项目。如发生以上情况，泄密方承担一切由此引起的后果并承担赔偿责任。</w:t>
      </w:r>
      <w:bookmarkEnd w:id="195"/>
      <w:r/>
      <w:bookmarkEnd w:id="196"/>
      <w:r/>
      <w:r/>
    </w:p>
    <w:p>
      <w:pPr>
        <w:ind w:firstLine="484"/>
        <w:spacing w:line="360" w:lineRule="auto"/>
        <w:rPr>
          <w:rFonts w:ascii="宋体" w:hAnsi="宋体" w:eastAsia="宋体"/>
          <w:b/>
          <w:sz w:val="24"/>
          <w:szCs w:val="24"/>
        </w:rPr>
      </w:pPr>
      <w:r>
        <w:rPr>
          <w:rFonts w:hint="eastAsia" w:ascii="宋体" w:hAnsi="宋体" w:eastAsia="宋体"/>
          <w:b/>
          <w:sz w:val="24"/>
          <w:szCs w:val="24"/>
        </w:rPr>
        <w:t xml:space="preserve">四、报价要求</w:t>
      </w:r>
      <w:r/>
    </w:p>
    <w:p>
      <w:pPr>
        <w:ind w:firstLine="480"/>
        <w:spacing w:line="360" w:lineRule="auto"/>
        <w:rPr>
          <w:rFonts w:hint="eastAsia" w:ascii="宋体" w:hAnsi="宋体" w:eastAsia="宋体"/>
          <w:bCs/>
          <w:sz w:val="24"/>
          <w:szCs w:val="24"/>
        </w:rPr>
      </w:pPr>
      <w:r/>
      <w:bookmarkStart w:id="197" w:name="OLE_LINK83"/>
      <w:r/>
      <w:bookmarkStart w:id="198" w:name="OLE_LINK84"/>
      <w:r>
        <w:rPr>
          <w:rFonts w:hint="eastAsia" w:ascii="宋体" w:hAnsi="宋体" w:eastAsia="宋体"/>
          <w:sz w:val="24"/>
          <w:szCs w:val="24"/>
        </w:rPr>
        <w:t xml:space="preserve">报价包括完成服务所需的一切费用，包括但不限于现场调查、资料搜集、报告编制费等所有工作所需的项目全过程服务费、交通差旅费、食宿费、会务费、咨询费、汇报费、相关成果文件费，以及应由供应商支付的管理费、利润、规费、税金、政策性文件规定及合同包含的所有风险、责任等完成本项目的各项应有费用。</w:t>
      </w:r>
      <w:bookmarkEnd w:id="197"/>
      <w:r/>
      <w:bookmarkEnd w:id="198"/>
      <w:r/>
      <w:r/>
    </w:p>
    <w:p>
      <w:pPr>
        <w:pStyle w:val="709"/>
        <w:ind w:firstLine="480"/>
        <w:jc w:val="left"/>
        <w:pageBreakBefore w:val="0"/>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、服务期限和地点</w:t>
      </w:r>
      <w:r/>
    </w:p>
    <w:p>
      <w:pPr>
        <w:pStyle w:val="938"/>
        <w:ind w:firstLine="566"/>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sz w:val="24"/>
          <w:szCs w:val="24"/>
          <w:lang w:val="en-US" w:eastAsia="zh-CN"/>
        </w:rPr>
        <w:t xml:space="preserve">2026年2月28日前提交评估报告并通过专家评审。</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地点：本项目合同履行地点为如东县</w:t>
      </w:r>
      <w:r>
        <w:rPr>
          <w:rFonts w:hint="eastAsia" w:ascii="宋体" w:hAnsi="宋体" w:cs="宋体"/>
          <w:color w:val="auto"/>
          <w:sz w:val="24"/>
          <w:szCs w:val="24"/>
          <w:highlight w:val="none"/>
          <w:lang w:val="en-US" w:eastAsia="zh-CN"/>
        </w:rPr>
        <w:t xml:space="preserve">洋口镇</w:t>
      </w:r>
      <w:r>
        <w:rPr>
          <w:rFonts w:hint="eastAsia" w:ascii="宋体" w:hAnsi="宋体" w:eastAsia="宋体" w:cs="宋体"/>
          <w:color w:val="auto"/>
          <w:sz w:val="24"/>
          <w:szCs w:val="24"/>
          <w:highlight w:val="none"/>
        </w:rPr>
        <w:t xml:space="preserve">，具体地点以合同书约定为准。</w:t>
      </w:r>
      <w:r/>
    </w:p>
    <w:p>
      <w:pPr>
        <w:pStyle w:val="709"/>
        <w:ind w:firstLine="480"/>
        <w:jc w:val="left"/>
        <w:pageBreakBefore w:val="0"/>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、付款方式</w:t>
      </w:r>
      <w:r/>
    </w:p>
    <w:p>
      <w:pPr>
        <w:pStyle w:val="744"/>
        <w:ind w:firstLine="480"/>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合同签订并进场勘探后付合同价的40%，出具评估报告后付至合同价的70%，通过专家评审后付清余款。</w:t>
      </w:r>
      <w:r/>
    </w:p>
    <w:p>
      <w:pPr>
        <w:pStyle w:val="709"/>
        <w:numPr>
          <w:ilvl w:val="0"/>
          <w:numId w:val="2"/>
        </w:numPr>
        <w:ind w:firstLine="480"/>
        <w:jc w:val="left"/>
        <w:pageBreakBefore w:val="0"/>
        <w:spacing w:before="0"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质量标准</w:t>
      </w:r>
      <w:r/>
    </w:p>
    <w:p>
      <w:pPr>
        <w:pStyle w:val="744"/>
        <w:ind w:firstLine="480"/>
        <w:jc w:val="left"/>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成果须符合国家及省市相关法律法规、政策文件和相关规划，并满足采购人要求，经专家评审论证通过，并经采购人审核通过。</w:t>
      </w:r>
      <w:r/>
    </w:p>
    <w:p>
      <w:pPr>
        <w:rPr>
          <w:rFonts w:hint="eastAsia" w:ascii="宋体" w:hAnsi="宋体" w:eastAsia="宋体" w:cs="宋体"/>
          <w:b/>
          <w:color w:val="auto"/>
          <w:sz w:val="44"/>
          <w:highlight w:val="none"/>
        </w:rPr>
      </w:pPr>
      <w:r/>
      <w:bookmarkStart w:id="199" w:name="_Toc186493270"/>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jc w:val="center"/>
        <w:spacing w:line="360" w:lineRule="auto"/>
        <w:rPr>
          <w:rFonts w:hint="eastAsia" w:ascii="宋体" w:hAnsi="宋体" w:eastAsia="宋体" w:cs="宋体"/>
          <w:bCs/>
          <w:color w:val="auto"/>
          <w:sz w:val="44"/>
          <w:highlight w:val="none"/>
        </w:rPr>
        <w:outlineLvl w:val="0"/>
      </w:pPr>
      <w:r>
        <w:rPr>
          <w:rFonts w:hint="eastAsia" w:ascii="宋体" w:hAnsi="宋体" w:eastAsia="宋体" w:cs="宋体"/>
          <w:b/>
          <w:color w:val="auto"/>
          <w:sz w:val="44"/>
          <w:highlight w:val="none"/>
        </w:rPr>
        <w:t xml:space="preserve">第四章  评标方</w:t>
      </w:r>
      <w:r>
        <w:rPr>
          <w:rFonts w:hint="eastAsia" w:ascii="宋体" w:hAnsi="宋体" w:eastAsia="宋体" w:cs="宋体"/>
          <w:b/>
          <w:bCs/>
          <w:color w:val="auto"/>
          <w:sz w:val="44"/>
          <w:highlight w:val="none"/>
        </w:rPr>
        <w:t xml:space="preserve">法与评标标准</w:t>
      </w:r>
      <w:bookmarkEnd w:id="199"/>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一、评审方法：</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由评标委员会对投标人资格进行审查，然后对符合资格的投标人的投标文件进行符合性审查，最后评标委员会对符合性审查合格的投标文件商务、技术部分进行评估，综合比较与评价。投标人商务技术分和价格分的合计分值，为该投标人的评标总得分。</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评标结果按评审后得分由高到低顺序排列，确定中标候选人名单并按顺序确定中标人。得分相同的，按投标报价由低到高顺序排列。得分且投标报价相同的并列,按照技术指标优劣顺序推荐。</w:t>
      </w:r>
      <w:r/>
    </w:p>
    <w:tbl>
      <w:tblPr>
        <w:tblStyle w:val="719"/>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2461"/>
        <w:gridCol w:w="5390"/>
      </w:tblGrid>
      <w:tr>
        <w:trPr/>
        <w:tc>
          <w:tcPr>
            <w:tcW w:w="1196" w:type="dxa"/>
            <w:vAlign w:val="center"/>
            <w:textDirection w:val="lrTb"/>
            <w:noWrap w:val="false"/>
          </w:tcPr>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w:t>
            </w:r>
            <w:r/>
          </w:p>
        </w:tc>
        <w:tc>
          <w:tcPr>
            <w:tcW w:w="2461" w:type="dxa"/>
            <w:vAlign w:val="center"/>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选取中标候选人数量</w:t>
            </w:r>
            <w:r/>
          </w:p>
        </w:tc>
        <w:tc>
          <w:tcPr>
            <w:tcW w:w="5390" w:type="dxa"/>
            <w:vAlign w:val="center"/>
            <w:textDirection w:val="lrTb"/>
            <w:noWrap w:val="false"/>
          </w:tcPr>
          <w:p>
            <w:pPr>
              <w:ind w:firstLine="1351"/>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选取中标候选人的原则</w:t>
            </w:r>
            <w:r/>
          </w:p>
        </w:tc>
      </w:tr>
      <w:tr>
        <w:trPr/>
        <w:tc>
          <w:tcPr>
            <w:tcW w:w="1196" w:type="dxa"/>
            <w:vAlign w:val="center"/>
            <w:textDirection w:val="lrTb"/>
            <w:noWrap w:val="false"/>
          </w:tcPr>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61" w:type="dxa"/>
            <w:vAlign w:val="center"/>
            <w:textDirection w:val="lrTb"/>
            <w:noWrap w:val="false"/>
          </w:tcPr>
          <w:p>
            <w:pPr>
              <w:ind w:firstLine="873"/>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390" w:type="dxa"/>
            <w:vAlign w:val="center"/>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满足招标文件全部实质性要求，且按照评审因素的量化指标评审得分最高的投标人为中标候选人。</w:t>
            </w:r>
            <w:r/>
          </w:p>
        </w:tc>
      </w:tr>
    </w:tbl>
    <w:p>
      <w:pPr>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二、政府采购政策功能落实：</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（1）本项目对小型和微型企业产品给予10%的扣除价格，用扣除后的价格参与评审。</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（2）供应商需按照《政府采购促进中小企业发展管理办法》（财库﹝2020﹞46 号）的规定提供相应的《中小企业声明函》。</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（1）本项目对残疾人福利性单位，给予10%的价格扣除，用扣除后的价格参与评审。</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（2）残疾人福利单位需按照招标文件的要求提供《残疾人福利性单位声明函》。</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（1）本项目对监狱和戒毒企业（简称监狱企业）给予10%的价格扣除，用扣除后的价格参与评审。</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6、联合体各方均为小型、微型企业（残疾人福利单位、监狱企业）的，联合体享受10%价格扣除，用扣除后的价格参与评审。</w:t>
      </w:r>
      <w:r/>
    </w:p>
    <w:p>
      <w:pPr>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三、评标方法与评标标准：</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本项目采用综合评分法。评委会将按下列评审因素与评审标准进行评分，总分值为100分。</w:t>
      </w:r>
      <w:r/>
    </w:p>
    <w:p>
      <w:pPr>
        <w:ind w:firstLine="241"/>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3.1、价格分（</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注：计算过程和最后得分均四舍五入保留小数点后两位数）：</w:t>
      </w:r>
      <w:r/>
    </w:p>
    <w:p>
      <w:pPr>
        <w:ind w:firstLine="555"/>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投标报价得分=（评标基准价/投标报价）×价格权值×100</w:t>
      </w:r>
      <w:r>
        <w:rPr>
          <w:rFonts w:hint="eastAsia" w:ascii="宋体" w:hAnsi="宋体" w:eastAsia="宋体" w:cs="宋体"/>
          <w:color w:val="auto"/>
          <w:sz w:val="24"/>
          <w:szCs w:val="24"/>
          <w:highlight w:val="none"/>
          <w:lang w:val="en-US" w:eastAsia="zh-CN"/>
        </w:rPr>
        <w:t xml:space="preserve">%</w:t>
      </w:r>
      <w:r/>
    </w:p>
    <w:p>
      <w:pPr>
        <w:ind w:firstLine="555"/>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异常低价审查</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根据省财政厅《关于推动解决政府采购异常低价问题相关工作的通知》（苏财购〔2025〕62号）要求，评审过程中出现下列情形之一的，评标委员会启动异常低价投标(响应)审查的情形和具体要求，包括:</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投标(响应)报价低于采购项目预算50%的，即投标(响应)报价&lt;采购项目预算x50%;</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投标(响应)报价低于采购项目最高限价45%的，即投标(响应)报价&lt;采购项目最高限价x45%;</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评标委员会认定的供应商报价过低、有可能影响产品质量或者不能诚信履约的其他情形。</w:t>
      </w:r>
      <w:r/>
    </w:p>
    <w:p>
      <w:pPr>
        <w:ind w:firstLine="5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241"/>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3.2、商务技术分（</w:t>
      </w:r>
      <w:r>
        <w:rPr>
          <w:rFonts w:hint="eastAsia" w:ascii="宋体" w:hAnsi="宋体" w:eastAsia="宋体" w:cs="宋体"/>
          <w:b/>
          <w:bCs/>
          <w:color w:val="auto"/>
          <w:sz w:val="24"/>
          <w:szCs w:val="24"/>
          <w:highlight w:val="none"/>
          <w:lang w:val="en-US" w:eastAsia="zh-CN"/>
        </w:rPr>
        <w:t xml:space="preserve">70</w:t>
      </w:r>
      <w:r>
        <w:rPr>
          <w:rFonts w:hint="eastAsia" w:ascii="宋体" w:hAnsi="宋体" w:eastAsia="宋体" w:cs="宋体"/>
          <w:b/>
          <w:bCs/>
          <w:color w:val="auto"/>
          <w:sz w:val="24"/>
          <w:szCs w:val="24"/>
          <w:highlight w:val="none"/>
        </w:rPr>
        <w:t xml:space="preserve">分）：</w:t>
      </w:r>
      <w:r/>
    </w:p>
    <w:p>
      <w:pPr>
        <w:ind w:firstLine="555"/>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各供应商得分为评标小组成员评分的算术平均分，分值保留小数点后两位。</w:t>
      </w:r>
      <w:r/>
    </w:p>
    <w:tbl>
      <w:tblPr>
        <w:tblStyle w:val="719"/>
        <w:tblW w:w="9253"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622"/>
        <w:gridCol w:w="6077"/>
        <w:gridCol w:w="851"/>
      </w:tblGrid>
      <w:tr>
        <w:trPr>
          <w:trHeight w:val="544"/>
        </w:trPr>
        <w:tc>
          <w:tcPr>
            <w:gridSpan w:val="2"/>
            <w:shd w:val="clear" w:color="auto" w:fill="auto"/>
            <w:tcW w:w="23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lang w:val="en-US" w:eastAsia="zh-CN" w:bidi="ar-SA"/>
                <w14:ligatures w14:val="none"/>
              </w:rPr>
            </w:pPr>
            <w:r>
              <w:rPr>
                <w:rFonts w:hint="eastAsia" w:ascii="宋体" w:hAnsi="宋体" w:eastAsia="宋体" w:cs="宋体"/>
                <w:b/>
                <w:bCs/>
                <w:color w:val="auto"/>
                <w:sz w:val="24"/>
                <w:szCs w:val="24"/>
                <w:lang w:bidi="ar"/>
              </w:rPr>
              <w:t xml:space="preserve">评审项目</w:t>
            </w:r>
            <w:r/>
          </w:p>
        </w:tc>
        <w:tc>
          <w:tcPr>
            <w:shd w:val="clear" w:color="auto" w:fill="auto"/>
            <w:tcW w:w="6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lang w:val="en-US" w:eastAsia="zh-CN" w:bidi="ar-SA"/>
                <w14:ligatures w14:val="none"/>
              </w:rPr>
            </w:pPr>
            <w:r>
              <w:rPr>
                <w:rFonts w:hint="eastAsia" w:ascii="宋体" w:hAnsi="宋体" w:eastAsia="宋体" w:cs="宋体"/>
                <w:b/>
                <w:bCs/>
                <w:color w:val="auto"/>
                <w:sz w:val="24"/>
                <w:szCs w:val="24"/>
                <w:lang w:bidi="ar"/>
              </w:rPr>
              <w:t xml:space="preserve">评审规则</w:t>
            </w:r>
            <w:r/>
          </w:p>
        </w:tc>
        <w:tc>
          <w:tcPr>
            <w:shd w:val="clear" w:color="auto" w:fill="auto"/>
            <w:tcW w:w="85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lang w:val="en-US" w:eastAsia="zh-CN" w:bidi="ar-SA"/>
                <w14:ligatures w14:val="none"/>
              </w:rPr>
            </w:pPr>
            <w:r>
              <w:rPr>
                <w:rFonts w:hint="eastAsia" w:ascii="宋体" w:hAnsi="宋体" w:eastAsia="宋体" w:cs="宋体"/>
                <w:b/>
                <w:bCs/>
                <w:color w:val="auto"/>
                <w:sz w:val="24"/>
                <w:szCs w:val="24"/>
                <w:lang w:bidi="ar"/>
              </w:rPr>
              <w:t xml:space="preserve">得分</w:t>
            </w:r>
            <w:r/>
          </w:p>
        </w:tc>
      </w:tr>
      <w:tr>
        <w:trPr/>
        <w:tc>
          <w:tcPr>
            <w:tcW w:w="703"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一、技术实施方案（</w:t>
            </w:r>
            <w:r>
              <w:rPr>
                <w:rFonts w:hint="eastAsia" w:ascii="宋体" w:hAnsi="宋体" w:cs="宋体"/>
                <w:color w:val="auto"/>
                <w:sz w:val="24"/>
                <w:szCs w:val="24"/>
                <w:lang w:val="en-US" w:eastAsia="zh-CN" w:bidi="ar"/>
              </w:rPr>
              <w:t xml:space="preserve">45</w:t>
            </w:r>
            <w:r>
              <w:rPr>
                <w:rFonts w:hint="eastAsia" w:ascii="宋体" w:hAnsi="宋体" w:eastAsia="宋体" w:cs="宋体"/>
                <w:color w:val="auto"/>
                <w:sz w:val="24"/>
                <w:szCs w:val="24"/>
                <w:lang w:bidi="ar"/>
              </w:rPr>
              <w:t xml:space="preserve">分）</w:t>
            </w:r>
            <w:r/>
          </w:p>
        </w:tc>
        <w:tc>
          <w:tcPr>
            <w:tcW w:w="162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项目理解</w:t>
            </w:r>
            <w:r>
              <w:rPr>
                <w:rFonts w:hint="eastAsia" w:ascii="宋体" w:hAnsi="宋体" w:eastAsia="宋体" w:cs="宋体"/>
                <w:color w:val="auto"/>
                <w:sz w:val="24"/>
                <w:szCs w:val="24"/>
                <w:lang w:bidi="ar"/>
              </w:rPr>
              <w:t xml:space="preserve">  </w:t>
            </w:r>
            <w:r/>
          </w:p>
        </w:tc>
        <w:tc>
          <w:tcPr>
            <w:tcW w:w="6077" w:type="dxa"/>
            <w:vAlign w:val="center"/>
            <w:textDirection w:val="lrTb"/>
            <w:noWrap w:val="false"/>
          </w:tcPr>
          <w:p>
            <w:pPr>
              <w:pStyle w:val="93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供应商对项目背景和需求的理解，并给出合理的建设方案。</w:t>
            </w:r>
            <w:r/>
          </w:p>
          <w:p>
            <w:pPr>
              <w:pStyle w:val="93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（1）工作目标明确，主要工作任务清楚，工作进度时间安排合理的，得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p>
            <w:pPr>
              <w:pStyle w:val="93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（2）工作目标较明确，主要工作任务较清楚，工作进度时间安排较合理的得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93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（3）工作目标不明确，主要工作任务不清楚，工作进度时间安排不合理的得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3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（4）未提供不得分。  </w:t>
            </w:r>
            <w:r/>
          </w:p>
        </w:tc>
        <w:tc>
          <w:tcPr>
            <w:tcW w:w="8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bidi="ar"/>
              </w:rPr>
              <w:t xml:space="preserve">9</w:t>
            </w:r>
            <w:r/>
          </w:p>
        </w:tc>
      </w:tr>
      <w:tr>
        <w:trPr/>
        <w:tc>
          <w:tcPr>
            <w:tcW w:w="7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shd w:val="clear" w:color="auto" w:fill="auto"/>
            <w:tcW w:w="1622" w:type="dxa"/>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lang w:val="en-US" w:eastAsia="zh-CN" w:bidi="ar"/>
                <w14:ligatures w14:val="none"/>
              </w:rPr>
            </w:pPr>
            <w:r>
              <w:rPr>
                <w:rFonts w:hint="eastAsia" w:ascii="宋体" w:hAnsi="宋体" w:eastAsia="宋体" w:cs="宋体"/>
                <w:color w:val="auto"/>
                <w:sz w:val="24"/>
                <w:szCs w:val="24"/>
                <w:lang w:val="en-US" w:eastAsia="zh-CN" w:bidi="ar"/>
                <w14:ligatures w14:val="none"/>
              </w:rPr>
              <w:t xml:space="preserve">工作目标、任务及安排情况</w:t>
            </w:r>
            <w:r/>
          </w:p>
        </w:tc>
        <w:tc>
          <w:tcPr>
            <w:shd w:val="clear" w:color="auto" w:fill="auto"/>
            <w:tcW w:w="6077" w:type="dxa"/>
            <w:vAlign w:val="center"/>
            <w:textDirection w:val="lrTb"/>
            <w:noWrap w:val="false"/>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供应商根据项目情况制定工作目标、任务及安排情况。</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（1）针对本项目目标任务，根据所划分的评估范围，收集、分析并充分阐明评估区的地理位置、近三年地质灾害发展情况及地质灾害发育基本特征的得</w:t>
            </w:r>
            <w:r>
              <w:rPr>
                <w:rFonts w:hint="eastAsia" w:ascii="宋体" w:hAnsi="宋体" w:eastAsia="宋体" w:cs="宋体"/>
                <w:sz w:val="24"/>
                <w:szCs w:val="24"/>
                <w:lang w:val="en-US" w:eastAsia="zh-CN"/>
              </w:rPr>
              <w:t xml:space="preserve">9</w:t>
            </w:r>
            <w:r>
              <w:rPr>
                <w:rFonts w:ascii="宋体" w:hAnsi="宋体" w:eastAsia="宋体" w:cs="宋体"/>
                <w:sz w:val="24"/>
                <w:szCs w:val="24"/>
              </w:rPr>
              <w:t xml:space="preserve">分；</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能阐明评估区的地理位置、近三年地质灾害发展情况及地质灾害发育基本特征的得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不能充分阐明评估区的地理位置、范围、近三年地质灾害发展情况及地质灾害发育基本特征的得</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w:t>
            </w:r>
            <w:r>
              <w:rPr>
                <w:rFonts w:hint="eastAsia" w:ascii="宋体" w:hAnsi="宋体" w:eastAsia="宋体" w:cs="宋体"/>
                <w:sz w:val="24"/>
                <w:szCs w:val="24"/>
              </w:rPr>
              <w:t xml:space="preserve">；</w:t>
            </w:r>
            <w:r/>
          </w:p>
          <w:p>
            <w:pPr>
              <w:pStyle w:val="723"/>
              <w:keepLines w:val="0"/>
              <w:keepNext w:val="0"/>
              <w:pageBreakBefore w:val="0"/>
              <w:spacing w:line="400" w:lineRule="exact"/>
              <w:rPr>
                <w:rFonts w:hint="eastAsia" w:ascii="宋体" w:hAnsi="宋体" w:eastAsia="宋体" w:cs="宋体"/>
                <w:color w:val="auto"/>
                <w:sz w:val="24"/>
                <w:szCs w:val="24"/>
                <w:lang w:val="en-US" w:eastAsia="zh-CN" w:bidi="ar"/>
                <w14:ligatures w14:val="none"/>
              </w:rPr>
            </w:pPr>
            <w:r>
              <w:rPr>
                <w:rFonts w:hint="eastAsia" w:ascii="宋体" w:hAnsi="宋体" w:eastAsia="宋体" w:cs="宋体"/>
                <w:sz w:val="24"/>
                <w:szCs w:val="24"/>
              </w:rPr>
              <w:t xml:space="preserve">（4）未提供不得分。</w:t>
            </w:r>
            <w:r/>
          </w:p>
        </w:tc>
        <w:tc>
          <w:tcPr>
            <w:shd w:val="clear" w:color="auto" w:fill="auto"/>
            <w:tcW w:w="8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en-US" w:eastAsia="zh-CN" w:bidi="ar"/>
                <w14:ligatures w14:val="none"/>
              </w:rPr>
            </w:pPr>
            <w:r>
              <w:rPr>
                <w:rFonts w:hint="eastAsia" w:ascii="宋体" w:hAnsi="宋体" w:cs="宋体"/>
                <w:color w:val="auto"/>
                <w:sz w:val="24"/>
                <w:szCs w:val="24"/>
                <w:lang w:val="en-US" w:eastAsia="zh-CN" w:bidi="ar"/>
              </w:rPr>
              <w:t xml:space="preserve">9</w:t>
            </w:r>
            <w:r/>
          </w:p>
        </w:tc>
      </w:tr>
      <w:tr>
        <w:trPr/>
        <w:tc>
          <w:tcPr>
            <w:tcW w:w="703"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野外调查、勘查计划</w:t>
            </w:r>
            <w:r/>
          </w:p>
        </w:tc>
        <w:tc>
          <w:tcPr>
            <w:tcW w:w="6077"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供应商根据项目情况开展野外调查并合理制定勘查计划。</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（1）野外调查、勘查计划周全，思路清晰、合理的，得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（2）野外调查、勘查计划较周全，思路较清晰、较合理的，得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（3）野外调查、勘查计划不周全，思路不清晰、不合理的得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（4）未提供不得分。 </w:t>
            </w:r>
            <w:r/>
          </w:p>
        </w:tc>
        <w:tc>
          <w:tcPr>
            <w:tcW w:w="8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bidi="ar"/>
              </w:rPr>
              <w:t xml:space="preserve">9</w:t>
            </w:r>
            <w:r/>
          </w:p>
        </w:tc>
      </w:tr>
      <w:tr>
        <w:trPr>
          <w:trHeight w:val="6154"/>
        </w:trPr>
        <w:tc>
          <w:tcPr>
            <w:tcW w:w="703"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2" w:type="dxa"/>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项目组织及保障措施</w:t>
            </w:r>
            <w:r/>
          </w:p>
        </w:tc>
        <w:tc>
          <w:tcPr>
            <w:tcW w:w="6077" w:type="dxa"/>
            <w:vAlign w:val="center"/>
            <w:textDirection w:val="lrTb"/>
            <w:noWrap w:val="false"/>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供应商根据项目情况开展工作，明确项目组织并制定保障措施。</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（1）项目组织管理措施完善，项目组成人员及分工明确，质量管理、技术保证、安全及劳动保证、项目售后服务内容及服务落实保证等措施健全的，得</w:t>
            </w:r>
            <w:r>
              <w:rPr>
                <w:rFonts w:hint="eastAsia" w:ascii="宋体" w:hAnsi="宋体" w:eastAsia="宋体" w:cs="宋体"/>
                <w:sz w:val="24"/>
                <w:szCs w:val="24"/>
                <w:lang w:val="en-US" w:eastAsia="zh-CN"/>
              </w:rPr>
              <w:t xml:space="preserve">9</w:t>
            </w:r>
            <w:r>
              <w:rPr>
                <w:rFonts w:ascii="宋体" w:hAnsi="宋体" w:eastAsia="宋体" w:cs="宋体"/>
                <w:sz w:val="24"/>
                <w:szCs w:val="24"/>
              </w:rPr>
              <w:t xml:space="preserve">分；</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项目组织管理措施较完善，项目组成人员及分工较明确，质量管理、技术保证、安全及劳动保证、项目售后服务内容及服务落实保证等措施较健全的，得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项目组织管理措施不完善，项目组成人员及分工不明确，质量管理、技术保证、安全及劳动保证、项目售后服务内容及服务落实保证等措施不健全的得</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w:t>
            </w:r>
            <w:r>
              <w:rPr>
                <w:rFonts w:hint="eastAsia" w:ascii="宋体" w:hAnsi="宋体" w:eastAsia="宋体" w:cs="宋体"/>
                <w:sz w:val="24"/>
                <w:szCs w:val="24"/>
              </w:rPr>
              <w:t xml:space="preserve">；</w:t>
            </w:r>
            <w:r/>
          </w:p>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4）未提供不得分。</w:t>
            </w:r>
            <w:r/>
          </w:p>
        </w:tc>
        <w:tc>
          <w:tcPr>
            <w:tcW w:w="8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bidi="ar"/>
              </w:rPr>
              <w:t xml:space="preserve">9</w:t>
            </w:r>
            <w:r/>
          </w:p>
        </w:tc>
      </w:tr>
      <w:tr>
        <w:trPr>
          <w:trHeight w:val="437"/>
        </w:trPr>
        <w:tc>
          <w:tcPr>
            <w:tcW w:w="703"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2" w:type="dxa"/>
            <w:vAlign w:val="center"/>
            <w:textDirection w:val="lrTb"/>
            <w:noWrap/>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项目服务承诺</w:t>
            </w:r>
            <w:r/>
          </w:p>
        </w:tc>
        <w:tc>
          <w:tcPr>
            <w:tcW w:w="6077" w:type="dxa"/>
            <w:vAlign w:val="center"/>
            <w:textDirection w:val="lrTb"/>
            <w:noWrap w:val="false"/>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根据供应商对承诺项目实施过程中和项目完成后为采购人提供的有关服务进行综合评分。</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（1）投标人承诺保质保量完成任务，有良好的售后反馈机制，在项目实验过程和地质灾害区域评估成果有效期内，继续为采购人提供技术咨询及系统维护服务并给予合理性建议的得</w:t>
            </w:r>
            <w:r>
              <w:rPr>
                <w:rFonts w:hint="eastAsia" w:ascii="宋体" w:hAnsi="宋体" w:eastAsia="宋体" w:cs="宋体"/>
                <w:sz w:val="24"/>
                <w:szCs w:val="24"/>
                <w:lang w:val="en-US" w:eastAsia="zh-CN"/>
              </w:rPr>
              <w:t xml:space="preserve">9</w:t>
            </w:r>
            <w:r>
              <w:rPr>
                <w:rFonts w:ascii="宋体" w:hAnsi="宋体" w:eastAsia="宋体" w:cs="宋体"/>
                <w:sz w:val="24"/>
                <w:szCs w:val="24"/>
              </w:rPr>
              <w:t xml:space="preserve">分；</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较好的为采购人提供技术咨询及系统维护服务并给予合理性建议的得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提供不全面、未提供服务承诺及合理性建议的得</w:t>
            </w:r>
            <w:r>
              <w:rPr>
                <w:rFonts w:hint="eastAsia" w:ascii="宋体" w:hAnsi="宋体" w:eastAsia="宋体" w:cs="宋体"/>
                <w:sz w:val="24"/>
                <w:szCs w:val="24"/>
                <w:lang w:val="en-US" w:eastAsia="zh-CN"/>
              </w:rPr>
              <w:t xml:space="preserve">3分</w:t>
            </w:r>
            <w:r>
              <w:rPr>
                <w:rFonts w:ascii="宋体" w:hAnsi="宋体" w:eastAsia="宋体" w:cs="宋体"/>
                <w:sz w:val="24"/>
                <w:szCs w:val="24"/>
              </w:rPr>
              <w:t xml:space="preserve">。</w:t>
            </w:r>
            <w:r/>
          </w:p>
          <w:p>
            <w:pPr>
              <w:pStyle w:val="723"/>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4）未提供不得分。</w:t>
            </w:r>
            <w:r/>
          </w:p>
        </w:tc>
        <w:tc>
          <w:tcPr>
            <w:tcW w:w="8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bidi="ar"/>
              </w:rPr>
              <w:t xml:space="preserve">9</w:t>
            </w:r>
            <w:r/>
          </w:p>
        </w:tc>
      </w:tr>
      <w:tr>
        <w:trPr>
          <w:trHeight w:val="90"/>
        </w:trPr>
        <w:tc>
          <w:tcPr>
            <w:tcW w:w="703"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二、企业实力（</w:t>
            </w:r>
            <w:r>
              <w:rPr>
                <w:rFonts w:hint="eastAsia" w:ascii="宋体" w:hAnsi="宋体" w:cs="宋体"/>
                <w:color w:val="auto"/>
                <w:sz w:val="24"/>
                <w:szCs w:val="24"/>
                <w:lang w:val="en-US" w:eastAsia="zh-CN" w:bidi="ar"/>
              </w:rPr>
              <w:t xml:space="preserve">25</w:t>
            </w:r>
            <w:r>
              <w:rPr>
                <w:rFonts w:hint="eastAsia" w:ascii="宋体" w:hAnsi="宋体" w:eastAsia="宋体" w:cs="宋体"/>
                <w:color w:val="auto"/>
                <w:sz w:val="24"/>
                <w:szCs w:val="24"/>
                <w:lang w:bidi="ar"/>
              </w:rPr>
              <w:t xml:space="preserve">分）</w:t>
            </w:r>
            <w:r/>
          </w:p>
        </w:tc>
        <w:tc>
          <w:tcPr>
            <w:tcW w:w="1622" w:type="dxa"/>
            <w:vAlign w:val="center"/>
            <w:vMerge w:val="restart"/>
            <w:textDirection w:val="lrTb"/>
            <w:noWrap/>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项目组成员</w:t>
            </w:r>
            <w:r/>
          </w:p>
        </w:tc>
        <w:tc>
          <w:tcPr>
            <w:tcW w:w="607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lang w:bidi="ar"/>
              </w:rPr>
            </w:pPr>
            <w:r>
              <w:rPr>
                <w:rFonts w:hint="eastAsia" w:ascii="宋体" w:hAnsi="宋体" w:eastAsia="宋体" w:cs="宋体"/>
                <w:sz w:val="24"/>
                <w:szCs w:val="24"/>
              </w:rPr>
              <w:t xml:space="preserve">项目负责人：具有水工环或岩土工程或地质工程专业正高级（研究员级、教授级）工程师职称且持有行政主管部门颁发的地质灾害危险性评估培训证书的得</w:t>
            </w:r>
            <w:r>
              <w:rPr>
                <w:rFonts w:ascii="宋体" w:hAnsi="宋体" w:eastAsia="宋体" w:cs="宋体"/>
                <w:sz w:val="24"/>
                <w:szCs w:val="24"/>
              </w:rPr>
              <w:t xml:space="preserve">2分</w:t>
            </w:r>
            <w:r>
              <w:rPr>
                <w:rFonts w:hint="eastAsia" w:ascii="宋体" w:hAnsi="宋体" w:eastAsia="宋体" w:cs="宋体"/>
                <w:sz w:val="24"/>
                <w:szCs w:val="24"/>
              </w:rPr>
              <w:t xml:space="preserve">；具有国家注册土</w:t>
            </w:r>
            <w:r>
              <w:rPr>
                <w:rFonts w:hint="eastAsia" w:ascii="宋体" w:hAnsi="宋体" w:cs="宋体"/>
                <w:sz w:val="24"/>
                <w:szCs w:val="24"/>
                <w:lang w:val="en-US" w:eastAsia="zh-CN"/>
              </w:rPr>
              <w:t xml:space="preserve">木</w:t>
            </w:r>
            <w:r>
              <w:rPr>
                <w:rFonts w:hint="eastAsia" w:ascii="宋体" w:hAnsi="宋体" w:eastAsia="宋体" w:cs="宋体"/>
                <w:sz w:val="24"/>
                <w:szCs w:val="24"/>
              </w:rPr>
              <w:t xml:space="preserve">工程师（岩土）的得2分；本项最高得</w:t>
            </w:r>
            <w:r>
              <w:rPr>
                <w:rFonts w:ascii="宋体" w:hAnsi="宋体" w:eastAsia="宋体" w:cs="宋体"/>
                <w:sz w:val="24"/>
                <w:szCs w:val="24"/>
              </w:rPr>
              <w:t xml:space="preserve">4</w:t>
            </w:r>
            <w:r>
              <w:rPr>
                <w:rFonts w:hint="eastAsia" w:ascii="宋体" w:hAnsi="宋体" w:eastAsia="宋体" w:cs="宋体"/>
                <w:sz w:val="24"/>
                <w:szCs w:val="24"/>
              </w:rPr>
              <w:t xml:space="preserve">分。</w:t>
            </w:r>
            <w:r/>
          </w:p>
        </w:tc>
        <w:tc>
          <w:tcPr>
            <w:tcW w:w="8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bidi="ar"/>
              </w:rPr>
              <w:t xml:space="preserve">4</w:t>
            </w:r>
            <w:r/>
          </w:p>
        </w:tc>
      </w:tr>
      <w:tr>
        <w:trPr/>
        <w:tc>
          <w:tcPr>
            <w:tcW w:w="7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tcW w:w="1622" w:type="dxa"/>
            <w:vAlign w:val="center"/>
            <w:vMerge w:val="continue"/>
            <w:textDirection w:val="lrTb"/>
            <w:noWrap/>
          </w:tcPr>
          <w:p>
            <w:pPr>
              <w:keepLines w:val="0"/>
              <w:keepNext w:val="0"/>
              <w:pageBreakBefore w:val="0"/>
              <w:spacing w:line="40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tcW w:w="6077" w:type="dxa"/>
            <w:vAlign w:val="center"/>
            <w:textDirection w:val="lrTb"/>
            <w:noWrap w:val="false"/>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项目团队成员（不含项目负责人）：</w:t>
            </w:r>
            <w:r/>
          </w:p>
          <w:p>
            <w:pPr>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t xml:space="preserve">1、项目技术负责人具有水工环或岩土工程</w:t>
            </w:r>
            <w:r>
              <w:rPr>
                <w:rFonts w:hint="eastAsia" w:ascii="宋体" w:hAnsi="宋体" w:eastAsia="宋体" w:cs="宋体"/>
                <w:sz w:val="24"/>
                <w:szCs w:val="24"/>
              </w:rPr>
              <w:t xml:space="preserve">或地质工程</w:t>
            </w:r>
            <w:r>
              <w:rPr>
                <w:rFonts w:ascii="宋体" w:hAnsi="宋体" w:eastAsia="宋体" w:cs="宋体"/>
                <w:sz w:val="24"/>
                <w:szCs w:val="24"/>
              </w:rPr>
              <w:t xml:space="preserve">专业正高级（研究员级、教授级）工程师职称的得2分；</w:t>
            </w:r>
            <w:r>
              <w:rPr>
                <w:rFonts w:hint="eastAsia" w:ascii="宋体" w:hAnsi="宋体" w:eastAsia="宋体" w:cs="宋体"/>
                <w:sz w:val="24"/>
                <w:szCs w:val="24"/>
              </w:rPr>
              <w:t xml:space="preserve">具有国家注册土</w:t>
            </w:r>
            <w:r>
              <w:rPr>
                <w:rFonts w:hint="eastAsia" w:ascii="宋体" w:hAnsi="宋体" w:cs="宋体"/>
                <w:sz w:val="24"/>
                <w:szCs w:val="24"/>
                <w:lang w:val="en-US" w:eastAsia="zh-CN"/>
              </w:rPr>
              <w:t xml:space="preserve">木</w:t>
            </w:r>
            <w:r>
              <w:rPr>
                <w:rFonts w:hint="eastAsia" w:ascii="宋体" w:hAnsi="宋体" w:eastAsia="宋体" w:cs="宋体"/>
                <w:sz w:val="24"/>
                <w:szCs w:val="24"/>
              </w:rPr>
              <w:t xml:space="preserve">工程师（岩土）的得</w:t>
            </w:r>
            <w:r>
              <w:rPr>
                <w:rFonts w:ascii="宋体" w:hAnsi="宋体" w:eastAsia="宋体" w:cs="宋体"/>
                <w:sz w:val="24"/>
                <w:szCs w:val="24"/>
              </w:rPr>
              <w:t xml:space="preserve">2分；本项最高得4分。</w:t>
            </w:r>
            <w:r/>
          </w:p>
          <w:p>
            <w:pPr>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t xml:space="preserve">2、项目组其它人员具有水工环或岩土工程</w:t>
            </w:r>
            <w:r>
              <w:rPr>
                <w:rFonts w:hint="eastAsia" w:ascii="宋体" w:hAnsi="宋体" w:eastAsia="宋体" w:cs="宋体"/>
                <w:sz w:val="24"/>
                <w:szCs w:val="24"/>
              </w:rPr>
              <w:t xml:space="preserve">或地质工程</w:t>
            </w:r>
            <w:r>
              <w:rPr>
                <w:rFonts w:ascii="宋体" w:hAnsi="宋体" w:eastAsia="宋体" w:cs="宋体"/>
                <w:sz w:val="24"/>
                <w:szCs w:val="24"/>
              </w:rPr>
              <w:t xml:space="preserve">专业高级职称且持有行政主管部门颁发的地质灾害危险性评估培训证书的，每增加一人加1分；本项最高得3分，提供证书复印件，否则不得分。</w:t>
            </w:r>
            <w:r/>
          </w:p>
          <w:p>
            <w:pPr>
              <w:jc w:val="left"/>
              <w:keepLines w:val="0"/>
              <w:keepNext w:val="0"/>
              <w:pageBreakBefore w:val="0"/>
              <w:spacing w:line="400" w:lineRule="exact"/>
              <w:widowControl/>
              <w:rPr>
                <w:rFonts w:hint="eastAsia" w:ascii="宋体" w:hAnsi="宋体" w:eastAsia="宋体" w:cs="宋体"/>
                <w:color w:val="auto"/>
                <w:sz w:val="24"/>
                <w:szCs w:val="24"/>
                <w:lang w:bidi="ar"/>
              </w:rPr>
            </w:pPr>
            <w:r>
              <w:rPr>
                <w:rFonts w:hint="eastAsia" w:ascii="宋体" w:hAnsi="宋体" w:eastAsia="宋体" w:cs="宋体"/>
                <w:sz w:val="24"/>
                <w:szCs w:val="24"/>
              </w:rPr>
              <w:t xml:space="preserve">3、</w:t>
            </w:r>
            <w:r>
              <w:rPr>
                <w:rFonts w:ascii="宋体" w:hAnsi="宋体" w:eastAsia="宋体" w:cs="宋体"/>
                <w:sz w:val="24"/>
                <w:szCs w:val="24"/>
              </w:rPr>
              <w:t xml:space="preserve">本项目设有1名专职安全员，负责安全管理工作。专职安全员具有水工环或岩土工程或地质工程专业</w:t>
            </w:r>
            <w:r>
              <w:rPr>
                <w:rFonts w:hint="eastAsia" w:ascii="宋体" w:hAnsi="宋体" w:eastAsia="宋体" w:cs="宋体"/>
                <w:sz w:val="24"/>
                <w:szCs w:val="24"/>
              </w:rPr>
              <w:t xml:space="preserve">高级工程师</w:t>
            </w:r>
            <w:r>
              <w:rPr>
                <w:rFonts w:ascii="宋体" w:hAnsi="宋体" w:eastAsia="宋体" w:cs="宋体"/>
                <w:sz w:val="24"/>
                <w:szCs w:val="24"/>
              </w:rPr>
              <w:t xml:space="preserve">职称证书的得1分；具有注册安全工程师证书的得3分；本项最高得4分</w:t>
            </w:r>
            <w:r>
              <w:rPr>
                <w:rFonts w:hint="eastAsia" w:ascii="宋体" w:hAnsi="宋体" w:eastAsia="宋体" w:cs="宋体"/>
                <w:sz w:val="24"/>
                <w:szCs w:val="24"/>
              </w:rPr>
              <w:t xml:space="preserve">。</w:t>
            </w:r>
            <w:r/>
          </w:p>
        </w:tc>
        <w:tc>
          <w:tcPr>
            <w:tcW w:w="851"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11</w:t>
            </w:r>
            <w:r/>
          </w:p>
        </w:tc>
      </w:tr>
      <w:tr>
        <w:trPr>
          <w:trHeight w:val="1950"/>
        </w:trPr>
        <w:tc>
          <w:tcPr>
            <w:tcW w:w="7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gridSpan w:val="3"/>
            <w:tcW w:w="8550" w:type="dxa"/>
            <w:vAlign w:val="center"/>
            <w:textDirection w:val="lrTb"/>
            <w:noWrap/>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项目组成员不重复计分，须提供人员职称证书、培训证、供应商为其缴纳的</w:t>
            </w:r>
            <w:r>
              <w:rPr>
                <w:rFonts w:hint="eastAsia" w:ascii="Times New Roman" w:hAnsi="Times New Roman" w:cs="Times New Roman"/>
                <w:sz w:val="24"/>
                <w:szCs w:val="24"/>
                <w:shd w:val="clear" w:color="auto" w:fill="ffffff"/>
                <w:lang w:val="en-US" w:eastAsia="zh-CN"/>
              </w:rPr>
              <w:t xml:space="preserve">2025年9月份至2025年11月份中</w:t>
            </w:r>
            <w:r>
              <w:rPr>
                <w:rFonts w:hint="eastAsia" w:ascii="Times New Roman" w:hAnsi="Times New Roman" w:cs="Times New Roman"/>
                <w:sz w:val="24"/>
                <w:szCs w:val="24"/>
                <w:highlight w:val="none"/>
                <w:shd w:val="clear" w:color="auto" w:fill="ffffff"/>
                <w:lang w:val="en-US" w:eastAsia="zh-CN"/>
              </w:rPr>
              <w:t xml:space="preserve">至少1</w:t>
            </w:r>
            <w:r>
              <w:rPr>
                <w:rFonts w:ascii="Times New Roman" w:hAnsi="Times New Roman" w:eastAsia="宋体" w:cs="Times New Roman"/>
                <w:sz w:val="24"/>
                <w:szCs w:val="24"/>
                <w:highlight w:val="none"/>
                <w:shd w:val="clear" w:color="auto" w:fill="ffffff"/>
              </w:rPr>
              <w:t xml:space="preserve">个月</w:t>
            </w:r>
            <w:r>
              <w:rPr>
                <w:rFonts w:hint="eastAsia" w:ascii="宋体" w:hAnsi="宋体" w:eastAsia="宋体" w:cs="宋体"/>
                <w:sz w:val="24"/>
                <w:szCs w:val="24"/>
              </w:rPr>
              <w:t xml:space="preserve">的社保缴纳证明材料复印件加盖公章，否则不得分；如为事业单位人员或企业中存在事业身份人员，可提供由上级主管部门出具的相关证明材料。</w:t>
            </w:r>
            <w:r/>
          </w:p>
          <w:p>
            <w:pPr>
              <w:jc w:val="center"/>
              <w:keepLines w:val="0"/>
              <w:keepNext w:val="0"/>
              <w:pageBreakBefore w:val="0"/>
              <w:spacing w:line="400" w:lineRule="exact"/>
              <w:widowControl/>
              <w:rPr>
                <w:rFonts w:hint="eastAsia" w:ascii="宋体" w:hAnsi="宋体" w:eastAsia="宋体" w:cs="宋体"/>
                <w:color w:val="auto"/>
                <w:sz w:val="24"/>
                <w:szCs w:val="24"/>
                <w:lang w:eastAsia="zh-CN" w:bidi="ar"/>
              </w:rPr>
            </w:pPr>
            <w:r>
              <w:rPr>
                <w:rFonts w:hint="eastAsia" w:ascii="宋体" w:hAnsi="宋体" w:eastAsia="宋体" w:cs="宋体"/>
                <w:sz w:val="24"/>
                <w:szCs w:val="24"/>
              </w:rPr>
              <w:t xml:space="preserve">2、若项目成员职称证上未列明专业，则以毕业证或学位证上的专业为准。</w:t>
            </w:r>
            <w:r/>
          </w:p>
        </w:tc>
      </w:tr>
      <w:tr>
        <w:trPr/>
        <w:tc>
          <w:tcPr>
            <w:tcW w:w="703"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类似业绩</w:t>
            </w:r>
            <w:r/>
          </w:p>
        </w:tc>
        <w:tc>
          <w:tcPr>
            <w:tcW w:w="6077" w:type="dxa"/>
            <w:vAlign w:val="center"/>
            <w:textDirection w:val="lrTb"/>
            <w:noWrap w:val="false"/>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供应商自</w:t>
            </w:r>
            <w:r>
              <w:rPr>
                <w:rFonts w:ascii="宋体" w:hAnsi="宋体" w:eastAsia="宋体" w:cs="宋体"/>
                <w:sz w:val="24"/>
                <w:szCs w:val="24"/>
              </w:rPr>
              <w:t xml:space="preserve">2021年1月1日以来（以合同签订日期为准）地质灾害危险性区域评估业绩（评估灾种中需包含因地下水开采引发的地面沉降和特殊类岩土（砂土、软土））</w:t>
            </w:r>
            <w:r>
              <w:rPr>
                <w:rFonts w:hint="eastAsia" w:ascii="宋体" w:hAnsi="宋体" w:eastAsia="宋体" w:cs="宋体"/>
                <w:sz w:val="24"/>
                <w:szCs w:val="24"/>
              </w:rPr>
              <w:t xml:space="preserve">，有1个得2分，本项最高得</w:t>
            </w:r>
            <w:r>
              <w:rPr>
                <w:rFonts w:ascii="宋体" w:hAnsi="宋体" w:eastAsia="宋体" w:cs="宋体"/>
                <w:sz w:val="24"/>
                <w:szCs w:val="24"/>
              </w:rPr>
              <w:t xml:space="preserve">4分，</w:t>
            </w:r>
            <w:r>
              <w:rPr>
                <w:rFonts w:hint="eastAsia" w:ascii="宋体" w:hAnsi="宋体" w:eastAsia="宋体" w:cs="宋体"/>
                <w:sz w:val="24"/>
                <w:szCs w:val="24"/>
              </w:rPr>
              <w:t xml:space="preserve">没有</w:t>
            </w:r>
            <w:r>
              <w:rPr>
                <w:rFonts w:ascii="宋体" w:hAnsi="宋体" w:eastAsia="宋体" w:cs="宋体"/>
                <w:sz w:val="24"/>
                <w:szCs w:val="24"/>
              </w:rPr>
              <w:t xml:space="preserve">不得分。</w:t>
            </w:r>
            <w:r/>
          </w:p>
          <w:p>
            <w:pPr>
              <w:pStyle w:val="723"/>
              <w:keepLines w:val="0"/>
              <w:keepNext w:val="0"/>
              <w:pageBreakBefore w:val="0"/>
              <w:spacing w:line="400" w:lineRule="exact"/>
              <w:rPr>
                <w:rFonts w:hint="eastAsia" w:ascii="宋体" w:hAnsi="宋体" w:eastAsia="宋体" w:cs="宋体"/>
                <w:color w:val="auto"/>
                <w:sz w:val="24"/>
                <w:szCs w:val="24"/>
                <w:lang w:bidi="ar"/>
              </w:rPr>
            </w:pPr>
            <w:r>
              <w:rPr>
                <w:rFonts w:hint="eastAsia" w:ascii="宋体" w:hAnsi="宋体" w:eastAsia="宋体" w:cs="宋体"/>
                <w:sz w:val="24"/>
                <w:szCs w:val="24"/>
              </w:rPr>
              <w:t xml:space="preserve">投标文件中提供合同复印件和专家审查意见并加盖公章，未按要求提供或无法证明的不得分。</w:t>
            </w:r>
            <w:r/>
          </w:p>
        </w:tc>
        <w:tc>
          <w:tcPr>
            <w:tcW w:w="851"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bidi="ar"/>
              </w:rPr>
              <w:t xml:space="preserve">4</w:t>
            </w:r>
            <w:r/>
          </w:p>
        </w:tc>
      </w:tr>
      <w:tr>
        <w:trPr/>
        <w:tc>
          <w:tcPr>
            <w:tcW w:w="703" w:type="dxa"/>
            <w:vAlign w:val="center"/>
            <w:vMerge w:val="continue"/>
            <w:textDirection w:val="lrTb"/>
            <w:noWrap w:val="false"/>
          </w:tcPr>
          <w:p>
            <w:pP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2" w:type="dxa"/>
            <w:vAlign w:val="center"/>
            <w:textDirection w:val="lrTb"/>
            <w:noWrap/>
          </w:tcPr>
          <w:p>
            <w:pP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企业综合实力</w:t>
            </w:r>
            <w:r/>
          </w:p>
        </w:tc>
        <w:tc>
          <w:tcPr>
            <w:tcW w:w="6077" w:type="dxa"/>
            <w:vAlign w:val="center"/>
            <w:textDirection w:val="lrTb"/>
            <w:noWrap w:val="false"/>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1、供应商具有住房和城乡建设厅出具安全生产许可证的得</w:t>
            </w:r>
            <w:r>
              <w:rPr>
                <w:rFonts w:ascii="宋体" w:hAnsi="宋体" w:eastAsia="宋体" w:cs="宋体"/>
                <w:sz w:val="24"/>
                <w:szCs w:val="24"/>
              </w:rPr>
              <w:t xml:space="preserve">2</w:t>
            </w:r>
            <w:r>
              <w:rPr>
                <w:rFonts w:hint="eastAsia" w:ascii="宋体" w:hAnsi="宋体" w:eastAsia="宋体" w:cs="宋体"/>
                <w:sz w:val="24"/>
                <w:szCs w:val="24"/>
              </w:rPr>
              <w:t xml:space="preserve">分；</w:t>
            </w:r>
            <w:r/>
          </w:p>
          <w:p>
            <w:pPr>
              <w:jc w:val="left"/>
              <w:keepLines w:val="0"/>
              <w:keepNext w:val="0"/>
              <w:pageBreakBefore w:val="0"/>
              <w:spacing w:line="400" w:lineRule="exact"/>
              <w:widowControl/>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、供应商具有有效期内的质量管理体系、环境管理体系、职业健康安全管理体系、信息安全管理体系认证证书的，每有一个得</w:t>
            </w:r>
            <w:r>
              <w:rPr>
                <w:rFonts w:ascii="宋体" w:hAnsi="宋体" w:eastAsia="宋体" w:cs="宋体"/>
                <w:sz w:val="24"/>
                <w:szCs w:val="24"/>
              </w:rPr>
              <w:t xml:space="preserve">1分，最高得4分。</w:t>
            </w:r>
            <w:r/>
          </w:p>
          <w:p>
            <w:pPr>
              <w:jc w:val="left"/>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投标文件中提供相关证明文件；未按要求提供或无效的不得分</w:t>
            </w:r>
            <w:r>
              <w:rPr>
                <w:rFonts w:hint="eastAsia" w:ascii="宋体" w:hAnsi="宋体" w:eastAsia="宋体" w:cs="宋体"/>
                <w:sz w:val="24"/>
                <w:szCs w:val="24"/>
                <w:lang w:eastAsia="zh-CN"/>
              </w:rPr>
              <w:t xml:space="preserve">。</w:t>
            </w:r>
            <w:r/>
          </w:p>
        </w:tc>
        <w:tc>
          <w:tcPr>
            <w:tcW w:w="851"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bidi="ar"/>
              </w:rPr>
              <w:t xml:space="preserve">6</w:t>
            </w:r>
            <w:r/>
          </w:p>
        </w:tc>
      </w:tr>
    </w:tbl>
    <w:p>
      <w:pPr>
        <w:pStyle w:val="744"/>
        <w:ind w:left="0" w:firstLine="0"/>
        <w:keepLines w:val="0"/>
        <w:keepNext w:val="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Cs w:val="20"/>
          <w:highlight w:val="none"/>
        </w:rPr>
      </w:pPr>
      <w:r>
        <w:rPr>
          <w:rFonts w:hint="eastAsia" w:ascii="宋体" w:hAnsi="宋体" w:eastAsia="宋体" w:cs="宋体"/>
          <w:color w:val="auto"/>
          <w:highlight w:val="none"/>
        </w:rPr>
        <w:br w:type="page" w:clear="all"/>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200"/>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第五章  合同文本格式</w:t>
      </w:r>
      <w:r/>
    </w:p>
    <w:p>
      <w:pPr>
        <w:pStyle w:val="741"/>
        <w:jc w:val="both"/>
        <w:spacing w:line="225" w:lineRule="atLeast"/>
        <w:rPr>
          <w:rFonts w:asciiTheme="minorEastAsia" w:hAnsiTheme="minorEastAsia" w:eastAsiaTheme="minorEastAsia"/>
          <w:bCs/>
          <w:sz w:val="30"/>
        </w:rPr>
      </w:pPr>
      <w:r>
        <w:rPr>
          <w:rFonts w:hint="eastAsia"/>
          <w:b/>
          <w:bCs/>
          <w:sz w:val="30"/>
          <w:szCs w:val="30"/>
        </w:rPr>
        <w:t xml:space="preserve">（本合同为参考合同，招标人可根据项目实际情况，在不改变实质性条款及招标文件精神的基础上作适当修改。招标人保留对合同文本的修改和完善的权利）</w:t>
      </w:r>
      <w:r/>
    </w:p>
    <w:p>
      <w:pPr>
        <w:jc w:val="center"/>
        <w:rPr>
          <w:rFonts w:asciiTheme="minorEastAsia" w:hAnsiTheme="minorEastAsia" w:eastAsiaTheme="minorEastAsia"/>
          <w:bCs/>
          <w:sz w:val="48"/>
          <w:szCs w:val="48"/>
        </w:rPr>
      </w:pPr>
      <w:r>
        <w:rPr>
          <w:rFonts w:asciiTheme="minorEastAsia" w:hAnsiTheme="minorEastAsia" w:eastAsiaTheme="minorEastAsia"/>
          <w:bCs/>
          <w:sz w:val="48"/>
          <w:szCs w:val="48"/>
        </w:rPr>
      </w:r>
      <w:r/>
    </w:p>
    <w:p>
      <w:pPr>
        <w:jc w:val="center"/>
        <w:rPr>
          <w:rFonts w:asciiTheme="minorEastAsia" w:hAnsiTheme="minorEastAsia" w:eastAsiaTheme="minorEastAsia"/>
          <w:b/>
          <w:spacing w:val="20"/>
          <w:sz w:val="52"/>
          <w:szCs w:val="52"/>
        </w:rPr>
      </w:pPr>
      <w:r/>
      <w:bookmarkStart w:id="200" w:name="_Toc186493271"/>
      <w:r>
        <w:rPr>
          <w:rFonts w:hint="eastAsia" w:asciiTheme="minorEastAsia" w:hAnsiTheme="minorEastAsia" w:eastAsiaTheme="minorEastAsia"/>
          <w:b/>
          <w:spacing w:val="20"/>
          <w:sz w:val="52"/>
          <w:szCs w:val="52"/>
        </w:rPr>
        <w:t xml:space="preserve">园区地质灾害危险性区域评估项目</w:t>
      </w:r>
      <w:r/>
    </w:p>
    <w:p>
      <w:pPr>
        <w:jc w:val="both"/>
        <w:rPr>
          <w:rFonts w:asciiTheme="minorEastAsia" w:hAnsiTheme="minorEastAsia" w:eastAsiaTheme="minorEastAsia"/>
          <w:bCs/>
          <w:spacing w:val="20"/>
          <w:sz w:val="48"/>
          <w:szCs w:val="48"/>
        </w:rPr>
      </w:pPr>
      <w:r>
        <w:rPr>
          <w:rFonts w:asciiTheme="minorEastAsia" w:hAnsiTheme="minorEastAsia" w:eastAsiaTheme="minorEastAsia"/>
          <w:bCs/>
          <w:spacing w:val="20"/>
          <w:sz w:val="48"/>
          <w:szCs w:val="48"/>
        </w:rPr>
      </w:r>
      <w:r/>
    </w:p>
    <w:p>
      <w:pPr>
        <w:jc w:val="center"/>
        <w:rPr>
          <w:rFonts w:asciiTheme="minorEastAsia" w:hAnsiTheme="minorEastAsia" w:eastAsiaTheme="minorEastAsia"/>
          <w:bCs/>
          <w:spacing w:val="20"/>
          <w:sz w:val="48"/>
          <w:szCs w:val="48"/>
        </w:rPr>
      </w:pPr>
      <w:r>
        <w:rPr>
          <w:rFonts w:asciiTheme="minorEastAsia" w:hAnsiTheme="minorEastAsia" w:eastAsiaTheme="minorEastAsia"/>
          <w:bCs/>
          <w:spacing w:val="20"/>
          <w:sz w:val="48"/>
          <w:szCs w:val="48"/>
        </w:rPr>
      </w:r>
      <w:r/>
    </w:p>
    <w:p>
      <w:pPr>
        <w:jc w:val="center"/>
        <w:rPr>
          <w:rFonts w:asciiTheme="minorEastAsia" w:hAnsiTheme="minorEastAsia" w:eastAsiaTheme="minorEastAsia"/>
          <w:bCs/>
          <w:spacing w:val="20"/>
          <w:sz w:val="48"/>
          <w:szCs w:val="48"/>
        </w:rPr>
      </w:pPr>
      <w:r>
        <w:rPr>
          <w:rFonts w:asciiTheme="minorEastAsia" w:hAnsiTheme="minorEastAsia" w:eastAsiaTheme="minorEastAsia"/>
          <w:bCs/>
          <w:spacing w:val="20"/>
          <w:sz w:val="48"/>
          <w:szCs w:val="48"/>
        </w:rPr>
      </w:r>
      <w:r/>
    </w:p>
    <w:p>
      <w:pPr>
        <w:jc w:val="center"/>
        <w:rPr>
          <w:rFonts w:asciiTheme="minorEastAsia" w:hAnsiTheme="minorEastAsia" w:eastAsiaTheme="minorEastAsia"/>
          <w:bCs/>
          <w:spacing w:val="20"/>
          <w:sz w:val="48"/>
          <w:szCs w:val="48"/>
        </w:rPr>
      </w:pPr>
      <w:r>
        <w:rPr>
          <w:rFonts w:asciiTheme="minorEastAsia" w:hAnsiTheme="minorEastAsia" w:eastAsiaTheme="minorEastAsia"/>
          <w:bCs/>
          <w:spacing w:val="20"/>
          <w:sz w:val="48"/>
          <w:szCs w:val="48"/>
        </w:rPr>
      </w:r>
      <w:r/>
    </w:p>
    <w:p>
      <w:pPr>
        <w:jc w:val="center"/>
        <w:rPr>
          <w:rFonts w:asciiTheme="minorEastAsia" w:hAnsiTheme="minorEastAsia" w:eastAsiaTheme="minorEastAsia"/>
          <w:bCs/>
          <w:spacing w:val="20"/>
          <w:sz w:val="48"/>
          <w:szCs w:val="48"/>
        </w:rPr>
      </w:pPr>
      <w:r>
        <w:rPr>
          <w:rFonts w:asciiTheme="minorEastAsia" w:hAnsiTheme="minorEastAsia" w:eastAsiaTheme="minorEastAsia"/>
          <w:bCs/>
          <w:spacing w:val="20"/>
          <w:sz w:val="48"/>
          <w:szCs w:val="48"/>
        </w:rPr>
      </w:r>
      <w:r/>
    </w:p>
    <w:p>
      <w:pPr>
        <w:jc w:val="center"/>
        <w:rPr>
          <w:rFonts w:asciiTheme="minorEastAsia" w:hAnsiTheme="minorEastAsia" w:eastAsiaTheme="minorEastAsia"/>
          <w:bCs/>
          <w:spacing w:val="20"/>
          <w:sz w:val="52"/>
          <w:szCs w:val="52"/>
        </w:rPr>
      </w:pPr>
      <w:r>
        <w:rPr>
          <w:rFonts w:asciiTheme="minorEastAsia" w:hAnsiTheme="minorEastAsia" w:eastAsiaTheme="minorEastAsia"/>
          <w:bCs/>
          <w:spacing w:val="20"/>
          <w:sz w:val="48"/>
          <w:szCs w:val="4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0" allowOverlap="1">
                <wp:simplePos x="0" y="0"/>
                <wp:positionH relativeFrom="column">
                  <wp:posOffset>-114300</wp:posOffset>
                </wp:positionH>
                <wp:positionV relativeFrom="paragraph">
                  <wp:posOffset>196850</wp:posOffset>
                </wp:positionV>
                <wp:extent cx="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8.9pt;mso-wrap-distance-top:0.0pt;mso-wrap-distance-right:8.9pt;mso-wrap-distance-bottom:0.0pt;visibility:visible;" from="-9.0pt,15.5pt" to="-9.0pt,15.5pt" filled="f" strokecolor="#000000" strokeweight="0.75pt"/>
            </w:pict>
          </mc:Fallback>
        </mc:AlternateContent>
      </w:r>
      <w:r>
        <w:rPr>
          <w:rFonts w:hint="eastAsia" w:asciiTheme="minorEastAsia" w:hAnsiTheme="minorEastAsia" w:eastAsiaTheme="minorEastAsia"/>
          <w:bCs/>
          <w:spacing w:val="20"/>
          <w:sz w:val="48"/>
          <w:szCs w:val="48"/>
        </w:rPr>
        <w:t xml:space="preserve">服务合同</w:t>
      </w:r>
      <w:r/>
    </w:p>
    <w:p>
      <w:pPr>
        <w:jc w:val="both"/>
        <w:tabs>
          <w:tab w:val="left" w:pos="9921" w:leader="none"/>
        </w:tabs>
        <w:rPr>
          <w:rFonts w:asciiTheme="minorEastAsia" w:hAnsiTheme="minorEastAsia" w:eastAsiaTheme="minorEastAsia"/>
          <w:bCs/>
          <w:sz w:val="30"/>
        </w:rPr>
      </w:pPr>
      <w:r>
        <w:rPr>
          <w:rFonts w:asciiTheme="minorEastAsia" w:hAnsiTheme="minorEastAsia" w:eastAsiaTheme="minorEastAsia"/>
          <w:bCs/>
          <w:sz w:val="30"/>
        </w:rPr>
      </w:r>
      <w:r/>
    </w:p>
    <w:p>
      <w:pPr>
        <w:jc w:val="center"/>
        <w:tabs>
          <w:tab w:val="left" w:pos="9921" w:leader="none"/>
        </w:tabs>
        <w:rPr>
          <w:rFonts w:asciiTheme="minorEastAsia" w:hAnsiTheme="minorEastAsia" w:eastAsiaTheme="minorEastAsia"/>
          <w:bCs/>
          <w:sz w:val="30"/>
        </w:rPr>
      </w:pPr>
      <w:r>
        <w:rPr>
          <w:rFonts w:asciiTheme="minorEastAsia" w:hAnsiTheme="minorEastAsia" w:eastAsiaTheme="minorEastAsia"/>
          <w:bCs/>
          <w:sz w:val="30"/>
        </w:rPr>
      </w:r>
      <w:r/>
    </w:p>
    <w:p>
      <w:pPr>
        <w:jc w:val="left"/>
        <w:tabs>
          <w:tab w:val="left" w:pos="5880" w:leader="none"/>
          <w:tab w:val="left" w:pos="9921" w:leader="none"/>
        </w:tabs>
        <w:rPr>
          <w:rFonts w:asciiTheme="minorEastAsia" w:hAnsiTheme="minorEastAsia" w:eastAsiaTheme="minorEastAsia"/>
          <w:bCs/>
          <w:sz w:val="30"/>
        </w:rPr>
      </w:pPr>
      <w:r>
        <w:rPr>
          <w:rFonts w:asciiTheme="minorEastAsia" w:hAnsiTheme="minorEastAsia" w:eastAsiaTheme="minorEastAsia"/>
          <w:bCs/>
          <w:sz w:val="30"/>
        </w:rPr>
        <w:tab/>
      </w:r>
      <w:r/>
    </w:p>
    <w:p>
      <w:pPr>
        <w:ind w:right="84" w:firstLine="1200"/>
        <w:jc w:val="left"/>
        <w:tabs>
          <w:tab w:val="left" w:pos="9240" w:leader="none"/>
        </w:tabs>
        <w:rPr>
          <w:rFonts w:asciiTheme="minorEastAsia" w:hAnsiTheme="minorEastAsia" w:eastAsiaTheme="minorEastAsia"/>
          <w:b/>
          <w:sz w:val="30"/>
          <w:szCs w:val="30"/>
        </w:rPr>
      </w:pPr>
      <w:r>
        <w:rPr>
          <w:rFonts w:asciiTheme="minorEastAsia" w:hAnsiTheme="minorEastAsia" w:eastAsiaTheme="minorEastAsia"/>
          <w:b/>
          <w:sz w:val="30"/>
          <w:szCs w:val="30"/>
        </w:rPr>
      </w:r>
      <w:r/>
    </w:p>
    <w:p>
      <w:pPr>
        <w:ind w:right="84" w:firstLine="1200"/>
        <w:jc w:val="left"/>
        <w:tabs>
          <w:tab w:val="left" w:pos="9240" w:leader="none"/>
        </w:tabs>
        <w:rPr>
          <w:rFonts w:asciiTheme="minorEastAsia" w:hAnsiTheme="minorEastAsia" w:eastAsiaTheme="minorEastAsia"/>
          <w:b/>
          <w:sz w:val="30"/>
          <w:szCs w:val="30"/>
          <w:u w:val="single"/>
        </w:rPr>
      </w:pPr>
      <w:r>
        <w:rPr>
          <w:rFonts w:hint="eastAsia" w:asciiTheme="minorEastAsia" w:hAnsiTheme="minorEastAsia" w:eastAsiaTheme="minorEastAsia"/>
          <w:b/>
          <w:sz w:val="30"/>
          <w:szCs w:val="30"/>
        </w:rPr>
        <w:t xml:space="preserve">甲方（采购人）：</w:t>
      </w:r>
      <w:r>
        <w:rPr>
          <w:rFonts w:hint="eastAsia" w:asciiTheme="minorEastAsia" w:hAnsiTheme="minorEastAsia" w:eastAsiaTheme="minorEastAsia"/>
          <w:b/>
          <w:sz w:val="30"/>
          <w:szCs w:val="30"/>
          <w:u w:val="single"/>
        </w:rPr>
        <w:t xml:space="preserve">如东县洋口镇人民政府</w:t>
      </w:r>
      <w:r/>
    </w:p>
    <w:p>
      <w:pPr>
        <w:ind w:right="84" w:firstLine="1200"/>
        <w:jc w:val="left"/>
        <w:tabs>
          <w:tab w:val="left" w:pos="9240" w:leader="none"/>
        </w:tabs>
        <w:rPr>
          <w:rFonts w:asciiTheme="minorEastAsia" w:hAnsiTheme="minorEastAsia" w:eastAsiaTheme="minorEastAsia"/>
          <w:b/>
          <w:sz w:val="30"/>
          <w:szCs w:val="30"/>
          <w:u w:val="single"/>
        </w:rPr>
      </w:pPr>
      <w:r>
        <w:rPr>
          <w:rFonts w:hint="eastAsia" w:asciiTheme="minorEastAsia" w:hAnsiTheme="minorEastAsia" w:eastAsiaTheme="minorEastAsia"/>
          <w:b/>
          <w:sz w:val="30"/>
          <w:szCs w:val="30"/>
        </w:rPr>
        <w:t xml:space="preserve">乙方（成交方）：</w:t>
      </w:r>
      <w:r>
        <w:rPr>
          <w:rFonts w:hint="eastAsia" w:asciiTheme="minorEastAsia" w:hAnsiTheme="minorEastAsia" w:eastAsiaTheme="minorEastAsia"/>
          <w:b/>
          <w:sz w:val="30"/>
          <w:szCs w:val="30"/>
          <w:u w:val="single"/>
        </w:rPr>
        <w:t xml:space="preserve"> </w:t>
      </w:r>
      <w:r>
        <w:rPr>
          <w:rFonts w:asciiTheme="minorEastAsia" w:hAnsiTheme="minorEastAsia" w:eastAsiaTheme="minorEastAsia"/>
          <w:b/>
          <w:sz w:val="30"/>
          <w:szCs w:val="30"/>
          <w:u w:val="single"/>
        </w:rPr>
        <w:t xml:space="preserve">                  </w:t>
      </w:r>
      <w:r/>
    </w:p>
    <w:p>
      <w:pPr>
        <w:jc w:val="left"/>
        <w:rPr>
          <w:rFonts w:asciiTheme="minorEastAsia" w:hAnsiTheme="minorEastAsia" w:eastAsiaTheme="minorEastAsia"/>
          <w:bCs/>
          <w:sz w:val="24"/>
          <w:szCs w:val="24"/>
        </w:rPr>
        <w:sectPr>
          <w:footerReference w:type="default" r:id="rId12"/>
          <w:footerReference w:type="even" r:id="rId13"/>
          <w:footnotePr/>
          <w:endnotePr/>
          <w:type w:val="nextPage"/>
          <w:pgSz w:w="11906" w:h="16838" w:orient="portrait"/>
          <w:pgMar w:top="1440" w:right="1080" w:bottom="1440" w:left="1080" w:header="850" w:footer="794" w:gutter="0"/>
          <w:pgNumType w:start="1"/>
          <w:cols w:num="1" w:sep="0" w:space="425" w:equalWidth="1"/>
          <w:docGrid w:linePitch="360"/>
        </w:sectPr>
      </w:pPr>
      <w:r>
        <w:rPr>
          <w:rFonts w:asciiTheme="minorEastAsia" w:hAnsiTheme="minorEastAsia" w:eastAsiaTheme="minorEastAsia"/>
          <w:bCs/>
          <w:sz w:val="24"/>
          <w:szCs w:val="24"/>
        </w:rPr>
        <w:br w:type="page" w:clear="all"/>
      </w:r>
      <w:r/>
    </w:p>
    <w:p>
      <w:pPr>
        <w:pStyle w:val="742"/>
        <w:jc w:val="center"/>
        <w:rPr>
          <w:rFonts w:asciiTheme="minorEastAsia" w:hAnsiTheme="minorEastAsia" w:eastAsiaTheme="minorEastAsia"/>
          <w:sz w:val="36"/>
          <w:szCs w:val="36"/>
        </w:rPr>
      </w:pPr>
      <w:r>
        <w:rPr>
          <w:rFonts w:hint="eastAsia" w:asciiTheme="minorEastAsia" w:hAnsiTheme="minorEastAsia" w:eastAsiaTheme="minorEastAsia"/>
        </w:rPr>
        <w:t xml:space="preserve">合同书</w:t>
      </w:r>
      <w:r/>
    </w:p>
    <w:p>
      <w:pPr>
        <w:ind w:firstLine="480"/>
        <w:spacing w:line="440" w:lineRule="exact"/>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甲</w:t>
      </w:r>
      <w:r>
        <w:rPr>
          <w:rFonts w:hint="eastAsia" w:asciiTheme="minorEastAsia" w:hAnsiTheme="minorEastAsia" w:eastAsiaTheme="minorEastAsia"/>
          <w:bCs/>
          <w:sz w:val="24"/>
          <w:szCs w:val="24"/>
          <w:lang w:val="en-US" w:eastAsia="zh-CN"/>
        </w:rPr>
        <w:t xml:space="preserve">  </w:t>
      </w:r>
      <w:r>
        <w:rPr>
          <w:rFonts w:hint="eastAsia" w:asciiTheme="minorEastAsia" w:hAnsiTheme="minorEastAsia" w:eastAsiaTheme="minorEastAsia"/>
          <w:bCs/>
          <w:sz w:val="24"/>
          <w:szCs w:val="24"/>
        </w:rPr>
        <w:t xml:space="preserve">方（采购人）：</w:t>
      </w:r>
      <w:r>
        <w:rPr>
          <w:rFonts w:hint="eastAsia" w:asciiTheme="minorEastAsia" w:hAnsiTheme="minorEastAsia" w:eastAsiaTheme="minorEastAsia"/>
          <w:bCs/>
          <w:sz w:val="24"/>
          <w:szCs w:val="24"/>
          <w:u w:val="single"/>
        </w:rPr>
        <w:t xml:space="preserve">如东县洋口镇人民政府</w:t>
      </w:r>
      <w:r/>
    </w:p>
    <w:p>
      <w:pPr>
        <w:ind w:firstLine="480"/>
        <w:spacing w:line="440" w:lineRule="exact"/>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 xml:space="preserve">住所地：</w:t>
      </w:r>
      <w:r/>
    </w:p>
    <w:p>
      <w:pPr>
        <w:ind w:firstLine="480"/>
        <w:spacing w:line="440" w:lineRule="exact"/>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乙</w:t>
      </w:r>
      <w:r>
        <w:rPr>
          <w:rFonts w:hint="eastAsia" w:asciiTheme="minorEastAsia" w:hAnsiTheme="minorEastAsia" w:eastAsiaTheme="minorEastAsia"/>
          <w:bCs/>
          <w:sz w:val="24"/>
          <w:szCs w:val="24"/>
          <w:lang w:val="en-US" w:eastAsia="zh-CN"/>
        </w:rPr>
        <w:t xml:space="preserve">  </w:t>
      </w:r>
      <w:r>
        <w:rPr>
          <w:rFonts w:hint="eastAsia" w:asciiTheme="minorEastAsia" w:hAnsiTheme="minorEastAsia" w:eastAsiaTheme="minorEastAsia"/>
          <w:bCs/>
          <w:sz w:val="24"/>
          <w:szCs w:val="24"/>
        </w:rPr>
        <w:t xml:space="preserve">方（成交方）：</w:t>
      </w:r>
      <w:r>
        <w:rPr>
          <w:rFonts w:hint="eastAsia" w:asciiTheme="minorEastAsia" w:hAnsiTheme="minorEastAsia" w:eastAsiaTheme="minorEastAsia"/>
          <w:b/>
          <w:bCs/>
          <w:sz w:val="24"/>
          <w:szCs w:val="24"/>
          <w:u w:val="single"/>
        </w:rPr>
        <w:t xml:space="preserve"> </w:t>
      </w:r>
      <w:r>
        <w:rPr>
          <w:rFonts w:asciiTheme="minorEastAsia" w:hAnsiTheme="minorEastAsia" w:eastAsiaTheme="minorEastAsia"/>
          <w:b/>
          <w:bCs/>
          <w:sz w:val="24"/>
          <w:szCs w:val="24"/>
          <w:u w:val="single"/>
        </w:rPr>
        <w:t xml:space="preserve">                       </w:t>
      </w:r>
      <w:r/>
    </w:p>
    <w:p>
      <w:pPr>
        <w:ind w:firstLine="480"/>
        <w:spacing w:line="440" w:lineRule="exact"/>
        <w:rPr>
          <w:rFonts w:hint="eastAsia" w:asciiTheme="minorEastAsia" w:hAnsiTheme="minorEastAsia" w:eastAsiaTheme="minorEastAsia"/>
          <w:b w:val="0"/>
          <w:bCs/>
          <w:sz w:val="24"/>
          <w:szCs w:val="24"/>
          <w:u w:val="none"/>
          <w:lang w:val="en-US" w:eastAsia="zh-CN"/>
        </w:rPr>
      </w:pPr>
      <w:r>
        <w:rPr>
          <w:rFonts w:hint="eastAsia" w:asciiTheme="minorEastAsia" w:hAnsiTheme="minorEastAsia" w:eastAsiaTheme="minorEastAsia"/>
          <w:b w:val="0"/>
          <w:bCs/>
          <w:sz w:val="24"/>
          <w:szCs w:val="24"/>
          <w:u w:val="none"/>
          <w:lang w:val="en-US" w:eastAsia="zh-CN"/>
        </w:rPr>
        <w:t xml:space="preserve">住所地：</w:t>
      </w:r>
      <w:r/>
    </w:p>
    <w:p>
      <w:pPr>
        <w:ind w:firstLine="482"/>
        <w:spacing w:line="420" w:lineRule="exact"/>
        <w:rPr>
          <w:rFonts w:asciiTheme="minorEastAsia" w:hAnsiTheme="minorEastAsia" w:eastAsiaTheme="minorEastAsia"/>
          <w:bCs/>
          <w:sz w:val="24"/>
          <w:szCs w:val="24"/>
          <w:u w:val="single"/>
        </w:rPr>
      </w:pPr>
      <w:r/>
      <w:bookmarkStart w:id="201" w:name="OLE_LINK19"/>
      <w:r>
        <w:rPr>
          <w:rFonts w:hint="eastAsia" w:asciiTheme="minorEastAsia" w:hAnsiTheme="minorEastAsia" w:eastAsiaTheme="minorEastAsia"/>
          <w:b/>
          <w:sz w:val="24"/>
          <w:szCs w:val="24"/>
        </w:rPr>
        <w:t xml:space="preserve">一、项目名称：</w:t>
      </w:r>
      <w:r>
        <w:rPr>
          <w:rFonts w:hint="eastAsia" w:asciiTheme="minorEastAsia" w:hAnsiTheme="minorEastAsia" w:eastAsiaTheme="minorEastAsia"/>
          <w:sz w:val="24"/>
          <w:szCs w:val="24"/>
        </w:rPr>
        <w:t xml:space="preserve">园区</w:t>
      </w:r>
      <w:r>
        <w:rPr>
          <w:rFonts w:hint="eastAsia" w:asciiTheme="minorEastAsia" w:hAnsiTheme="minorEastAsia" w:eastAsiaTheme="minorEastAsia"/>
          <w:bCs/>
          <w:sz w:val="24"/>
          <w:szCs w:val="24"/>
        </w:rPr>
        <w:t xml:space="preserve">地质灾害危险性区域评估</w:t>
      </w:r>
      <w:r/>
    </w:p>
    <w:p>
      <w:pPr>
        <w:ind w:firstLine="482"/>
        <w:spacing w:line="420" w:lineRule="exact"/>
        <w:tabs>
          <w:tab w:val="left" w:pos="210" w:leader="none"/>
          <w:tab w:val="left" w:pos="840" w:leader="none"/>
          <w:tab w:val="left" w:pos="1134"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二、采购内容：</w:t>
      </w:r>
      <w:r>
        <w:rPr>
          <w:rFonts w:hint="eastAsia" w:asciiTheme="minorEastAsia" w:hAnsiTheme="minorEastAsia" w:eastAsiaTheme="minorEastAsia"/>
          <w:sz w:val="24"/>
          <w:szCs w:val="24"/>
        </w:rPr>
        <w:t xml:space="preserve">本项目为园区地质灾害危险性区域评估项目，评估面积约27.46</w:t>
      </w:r>
      <w:r>
        <w:rPr>
          <w:rFonts w:asciiTheme="minorEastAsia" w:hAnsiTheme="minorEastAsia" w:eastAsiaTheme="minorEastAsia"/>
          <w:sz w:val="24"/>
          <w:szCs w:val="24"/>
        </w:rPr>
        <w:t xml:space="preserve">km</w:t>
      </w:r>
      <w:r>
        <w:rPr>
          <w:rFonts w:asciiTheme="minorEastAsia" w:hAnsiTheme="minorEastAsia" w:eastAsiaTheme="minorEastAsia"/>
          <w:sz w:val="24"/>
          <w:szCs w:val="24"/>
          <w:vertAlign w:val="superscript"/>
        </w:rPr>
        <w:t xml:space="preserve">2</w:t>
      </w:r>
      <w:r>
        <w:rPr>
          <w:rFonts w:hint="eastAsia" w:asciiTheme="minorEastAsia" w:hAnsiTheme="minorEastAsia" w:eastAsiaTheme="minorEastAsia"/>
          <w:sz w:val="24"/>
          <w:szCs w:val="24"/>
        </w:rPr>
        <w:t xml:space="preserve">。乙方负责对本项目进行地质灾害危险性区域评估，并建立区域评估成果查询系统，以简化建设项目评估程序和降低成本，提高用地审批效率，更好地服务区内项目建设。</w:t>
      </w:r>
      <w:r/>
    </w:p>
    <w:p>
      <w:pPr>
        <w:ind w:left="524"/>
        <w:spacing w:line="42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三、合同价格形式及合同价款：</w:t>
      </w:r>
      <w:r/>
    </w:p>
    <w:p>
      <w:pPr>
        <w:ind w:left="523"/>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1.合同价格形式：</w:t>
      </w:r>
      <w:r>
        <w:rPr>
          <w:rFonts w:hint="eastAsia" w:asciiTheme="minorEastAsia" w:hAnsiTheme="minorEastAsia" w:eastAsiaTheme="minorEastAsia"/>
          <w:b/>
          <w:bCs/>
          <w:sz w:val="24"/>
          <w:u w:val="single"/>
        </w:rPr>
        <w:t xml:space="preserve">固定总价。</w:t>
      </w:r>
      <w:r/>
    </w:p>
    <w:p>
      <w:pPr>
        <w:ind w:left="523"/>
        <w:spacing w:line="440" w:lineRule="exact"/>
        <w:tabs>
          <w:tab w:val="left" w:pos="210" w:leader="none"/>
          <w:tab w:val="left" w:pos="840" w:leader="none"/>
          <w:tab w:val="left" w:pos="1260" w:leader="none"/>
        </w:tabs>
        <w:rPr>
          <w:rFonts w:asciiTheme="minorEastAsia" w:hAnsiTheme="minorEastAsia" w:eastAsiaTheme="minorEastAsia"/>
          <w:bCs/>
          <w:sz w:val="24"/>
          <w:szCs w:val="24"/>
        </w:rPr>
      </w:pPr>
      <w:r>
        <w:rPr>
          <w:rFonts w:hint="eastAsia" w:asciiTheme="minorEastAsia" w:hAnsiTheme="minorEastAsia" w:eastAsiaTheme="minorEastAsia"/>
          <w:b/>
          <w:sz w:val="24"/>
          <w:szCs w:val="24"/>
        </w:rPr>
        <w:t xml:space="preserve">2.合同价款</w:t>
      </w:r>
      <w:r>
        <w:rPr>
          <w:rFonts w:hint="eastAsia"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val="en-US" w:eastAsia="zh-CN"/>
        </w:rPr>
        <w:t xml:space="preserve">含税价</w:t>
      </w:r>
      <w:r>
        <w:rPr>
          <w:rFonts w:hint="eastAsia"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rPr>
        <w:t xml:space="preserve">：</w:t>
      </w:r>
      <w:r>
        <w:rPr>
          <w:rFonts w:hint="eastAsia" w:asciiTheme="minorEastAsia" w:hAnsiTheme="minorEastAsia" w:eastAsiaTheme="minorEastAsia"/>
          <w:bCs/>
          <w:sz w:val="24"/>
          <w:szCs w:val="24"/>
        </w:rPr>
        <w:t xml:space="preserve">（大写）</w:t>
      </w:r>
      <w:r>
        <w:rPr>
          <w:rFonts w:hint="eastAsia" w:asciiTheme="minorEastAsia" w:hAnsiTheme="minorEastAsia" w:eastAsiaTheme="minorEastAsia"/>
          <w:b/>
          <w:bCs/>
          <w:sz w:val="24"/>
          <w:szCs w:val="24"/>
          <w:u w:val="single"/>
        </w:rPr>
        <w:t xml:space="preserve"> </w:t>
      </w:r>
      <w:r>
        <w:rPr>
          <w:rFonts w:asciiTheme="minorEastAsia" w:hAnsiTheme="minorEastAsia" w:eastAsiaTheme="minorEastAsia"/>
          <w:b/>
          <w:bCs/>
          <w:sz w:val="24"/>
          <w:szCs w:val="24"/>
          <w:u w:val="single"/>
        </w:rPr>
        <w:t xml:space="preserve">         </w:t>
      </w:r>
      <w:r>
        <w:rPr>
          <w:rFonts w:hint="eastAsia" w:asciiTheme="minorEastAsia" w:hAnsiTheme="minorEastAsia" w:eastAsiaTheme="minorEastAsia"/>
          <w:b/>
          <w:bCs/>
          <w:sz w:val="24"/>
          <w:szCs w:val="24"/>
          <w:u w:val="single"/>
        </w:rPr>
        <w:t xml:space="preserve">元整</w:t>
      </w:r>
      <w:r>
        <w:rPr>
          <w:rFonts w:hint="eastAsia" w:asciiTheme="minorEastAsia" w:hAnsiTheme="minorEastAsia" w:eastAsiaTheme="minorEastAsia"/>
          <w:bCs/>
          <w:sz w:val="24"/>
          <w:szCs w:val="24"/>
        </w:rPr>
        <w:t xml:space="preserve">；（小写）¥</w:t>
      </w:r>
      <w:r>
        <w:rPr>
          <w:rFonts w:asciiTheme="minorEastAsia" w:hAnsiTheme="minorEastAsia" w:eastAsiaTheme="minorEastAsia"/>
          <w:b/>
          <w:bCs/>
          <w:sz w:val="24"/>
          <w:szCs w:val="24"/>
          <w:u w:val="single"/>
        </w:rPr>
        <w:t xml:space="preserve">       </w:t>
      </w:r>
      <w:r>
        <w:rPr>
          <w:rFonts w:hint="eastAsia" w:asciiTheme="minorEastAsia" w:hAnsiTheme="minorEastAsia" w:eastAsiaTheme="minorEastAsia"/>
          <w:bCs/>
          <w:sz w:val="24"/>
          <w:szCs w:val="24"/>
        </w:rPr>
        <w:t xml:space="preserve">元。</w:t>
      </w:r>
      <w:r/>
    </w:p>
    <w:p>
      <w:pPr>
        <w:ind w:firstLine="480"/>
        <w:spacing w:after="5"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合同价款应包括完成服务所需的一切费用，包括但不限于现场调查、资料搜集、报告编制费等所有工作所需的项目全过程服务费、交通差旅费、食宿费、会务费、咨询费、汇报费、相关成果文件费，以及应由供应商支付的管理费、利润、规费、税金、政策性文件规定及合同包含的所有风险、责任等完成本项目的各项应有费用。</w:t>
      </w:r>
      <w:r/>
    </w:p>
    <w:p>
      <w:pPr>
        <w:numPr>
          <w:ilvl w:val="0"/>
          <w:numId w:val="3"/>
        </w:numPr>
        <w:ind w:firstLine="523"/>
        <w:spacing w:line="440" w:lineRule="exact"/>
        <w:tabs>
          <w:tab w:val="left" w:pos="210" w:leader="none"/>
          <w:tab w:val="left" w:pos="1134" w:leader="none"/>
          <w:tab w:val="left" w:pos="1260" w:leader="none"/>
        </w:tabs>
        <w:rPr>
          <w:rFonts w:hint="eastAsia" w:ascii="宋体" w:hAnsi="宋体" w:eastAsia="宋体" w:cs="宋体"/>
          <w:color w:val="auto"/>
          <w:sz w:val="24"/>
          <w:szCs w:val="24"/>
          <w:highlight w:val="none"/>
          <w:lang w:val="en-US" w:eastAsia="zh-CN"/>
        </w:rPr>
      </w:pPr>
      <w:r/>
      <w:bookmarkStart w:id="202" w:name="_Hlk128397861"/>
      <w:r>
        <w:rPr>
          <w:rFonts w:hint="eastAsia" w:asciiTheme="minorEastAsia" w:hAnsiTheme="minorEastAsia" w:eastAsiaTheme="minorEastAsia"/>
          <w:b/>
          <w:sz w:val="24"/>
        </w:rPr>
        <w:t xml:space="preserve">服务期：</w:t>
      </w:r>
      <w:bookmarkEnd w:id="202"/>
      <w:r>
        <w:rPr>
          <w:rFonts w:hint="eastAsia" w:asciiTheme="minorEastAsia" w:hAnsiTheme="minorEastAsia" w:eastAsiaTheme="minorEastAsia"/>
          <w:bCs/>
          <w:sz w:val="24"/>
        </w:rPr>
        <w:t xml:space="preserve">合同签订后，</w:t>
      </w:r>
      <w:r>
        <w:rPr>
          <w:rFonts w:hint="eastAsia" w:ascii="宋体" w:hAnsi="宋体" w:eastAsia="宋体" w:cs="宋体"/>
          <w:color w:val="auto"/>
          <w:sz w:val="24"/>
          <w:szCs w:val="24"/>
          <w:highlight w:val="none"/>
          <w:lang w:val="en-US" w:eastAsia="zh-CN"/>
        </w:rPr>
        <w:t xml:space="preserve">2026年2月28日前提交评估报告并通过专家评审。</w:t>
      </w:r>
      <w:r/>
    </w:p>
    <w:p>
      <w:pPr>
        <w:numPr>
          <w:ilvl w:val="0"/>
          <w:numId w:val="0"/>
        </w:numPr>
        <w:ind w:firstLine="480"/>
        <w:spacing w:line="440" w:lineRule="exact"/>
        <w:tabs>
          <w:tab w:val="left" w:pos="210" w:leader="none"/>
          <w:tab w:val="left" w:pos="1134" w:leader="none"/>
          <w:tab w:val="left" w:pos="1260"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lang w:val="en-US" w:eastAsia="zh-CN"/>
        </w:rPr>
        <w:t xml:space="preserve">逾</w:t>
      </w:r>
      <w:r>
        <w:rPr>
          <w:rFonts w:hint="eastAsia" w:asciiTheme="minorEastAsia" w:hAnsiTheme="minorEastAsia" w:eastAsiaTheme="minorEastAsia"/>
          <w:bCs/>
          <w:sz w:val="24"/>
          <w:highlight w:val="none"/>
        </w:rPr>
        <w:t xml:space="preserve">期违约金：2000元/天，上限为合同价款的5%。</w:t>
      </w:r>
      <w:r/>
    </w:p>
    <w:p>
      <w:pPr>
        <w:ind w:firstLine="523"/>
        <w:spacing w:line="440" w:lineRule="exact"/>
        <w:tabs>
          <w:tab w:val="left" w:pos="210" w:leader="none"/>
          <w:tab w:val="left" w:pos="1134" w:leader="none"/>
          <w:tab w:val="left" w:pos="1260" w:leader="none"/>
        </w:tabs>
        <w:rPr>
          <w:rFonts w:asciiTheme="minorEastAsia" w:hAnsiTheme="minorEastAsia" w:eastAsiaTheme="minorEastAsia"/>
          <w:bCs/>
          <w:sz w:val="24"/>
        </w:rPr>
      </w:pPr>
      <w:r>
        <w:rPr>
          <w:rFonts w:hint="eastAsia" w:asciiTheme="minorEastAsia" w:hAnsiTheme="minorEastAsia" w:eastAsiaTheme="minorEastAsia"/>
          <w:b/>
          <w:bCs/>
          <w:sz w:val="24"/>
        </w:rPr>
        <w:t xml:space="preserve">五、质量标准：</w:t>
      </w:r>
      <w:r>
        <w:rPr>
          <w:rFonts w:hint="eastAsia" w:asciiTheme="minorEastAsia" w:hAnsiTheme="minorEastAsia" w:eastAsiaTheme="minorEastAsia"/>
          <w:bCs/>
          <w:sz w:val="24"/>
        </w:rPr>
        <w:t xml:space="preserve">成果须符合国家及省市相关法律法规、政策文件和相关规划，并满足甲方要求，经专家评审论证通过，并经甲方审核通过。</w:t>
      </w:r>
      <w:r/>
    </w:p>
    <w:p>
      <w:pPr>
        <w:ind w:firstLine="523"/>
        <w:spacing w:line="440" w:lineRule="exact"/>
        <w:tabs>
          <w:tab w:val="left" w:pos="210" w:leader="none"/>
          <w:tab w:val="left" w:pos="1134"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六、服务内容及要求</w:t>
      </w:r>
      <w:r/>
    </w:p>
    <w:p>
      <w:pPr>
        <w:ind w:firstLine="482"/>
        <w:spacing w:after="5" w:line="440" w:lineRule="exact"/>
        <w:rPr>
          <w:rFonts w:asciiTheme="minorEastAsia" w:hAnsiTheme="minorEastAsia" w:eastAsiaTheme="minorEastAsia"/>
          <w:b/>
          <w:bCs/>
          <w:sz w:val="24"/>
        </w:rPr>
      </w:pPr>
      <w:r/>
      <w:bookmarkStart w:id="203" w:name="OLE_LINK69"/>
      <w:r/>
      <w:bookmarkStart w:id="204" w:name="OLE_LINK70"/>
      <w:r>
        <w:rPr>
          <w:rFonts w:hint="eastAsia" w:asciiTheme="minorEastAsia" w:hAnsiTheme="minorEastAsia" w:eastAsiaTheme="minorEastAsia"/>
          <w:b/>
          <w:bCs/>
          <w:sz w:val="24"/>
        </w:rPr>
        <w:t xml:space="preserve">1.项目背景</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本项目位于如东县洋口镇，主要对园区进行地质灾害危险性区域评估，评估面积约27.46km</w:t>
      </w:r>
      <w:r>
        <w:rPr>
          <w:rFonts w:hint="eastAsia" w:asciiTheme="minorEastAsia" w:hAnsiTheme="minorEastAsia" w:eastAsiaTheme="minorEastAsia"/>
          <w:bCs/>
          <w:sz w:val="24"/>
          <w:vertAlign w:val="superscript"/>
        </w:rPr>
        <w:t xml:space="preserve">2</w:t>
      </w:r>
      <w:r>
        <w:rPr>
          <w:rFonts w:hint="eastAsia" w:asciiTheme="minorEastAsia" w:hAnsiTheme="minorEastAsia" w:eastAsiaTheme="minorEastAsia"/>
          <w:bCs/>
          <w:sz w:val="24"/>
        </w:rPr>
        <w:t xml:space="preserve">。</w:t>
      </w:r>
      <w:r/>
    </w:p>
    <w:p>
      <w:pPr>
        <w:ind w:firstLine="482"/>
        <w:spacing w:after="5" w:line="44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2.主要工作任务</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本次地质灾害危险性区域评估工作目的是紧密结合区域总体规划，根据相关规范、要求和已有的各方面地质资料，有针对性地部署地质环境调查、水文地质、工程地质钻探等工作，在全面分析成果资料的基础上，开展地质灾害危险性区域评估，并建立区域评估成果查询系统，以简化建设项目评估程序和降低成本，提高用地审批效率，更好地服务区内项目建设。</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主要任务是：</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（1）全面收集分析工作区气象、水文、水工环地质以及总体规划、地质勘察等各类资料；</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（2）开展地质灾害调查，基本查明工作区地质灾害分布发育特征、形成条件和诱发因素；</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（3）有针对性地开展工程地质、水文地质调查及补充钻探工作，全面查清工作区水文地质、工程地质条件；</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（4）分析论证工作区各种地质灾害的易发性、危险性，并进行现状、预测和综合评估；开展建设场地适宜性评价，并提出防治地质灾害的措施与建议；</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（5）并建立地质灾害危险性区域评估成果查询系统，以简化建设项目评估程序和降低成本，提高用地审批效率，更好地服务区内项目建设。</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（6）评估成果通过审查，提交甲方使用。</w:t>
      </w:r>
      <w:r/>
    </w:p>
    <w:p>
      <w:pPr>
        <w:ind w:firstLine="482"/>
        <w:spacing w:after="5" w:line="44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3.评估内容</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通过对评估区基础环境地质资料分析和现场调查，查明评估区地质环境条件基本特征，查明评估区地质灾害的类型、分布规模、特征、形成条件及诱发因素，分析论证工程建设区各种地质灾害的危险性，并在此基础上进行地质灾害危险性现状评估；结合本区地质环境条件和建设规划特点，对评估区工程建设可能引发或遭受地质灾害的危险性作出预测评估，并进行地质灾害危险性综合分区评估及建设用地适宜性评价，提出地质灾害防治措施和建议。</w:t>
      </w:r>
      <w:r/>
    </w:p>
    <w:p>
      <w:pPr>
        <w:ind w:firstLine="482"/>
        <w:spacing w:after="5" w:line="44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4.评估要求</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本次工作采用资料收集、野外调查和综合分析研究相结合的技术路线，即在充分收集和分析评估区区域地质、水文地质、工程地质、环境地质等地质背景资料的基础上，根据地质灾害发育的地质背景和地质环境的具体情况，有重点地开展地质灾害调查，综合运用遥感、钻探、取样测试等手段，查明评估区地质灾害的类型、发育特征，分析工程建设、人类活动与地质环境的相互关系和演化趋势，在此基础上对区内地质灾害的危险性进行分析评估。</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（1）资料收集</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全面收集工作区相关的气象水文、地质及水文地质、工程勘察、地质灾害监测等方面的资料，了解工作区地质环境背景和地质灾害分布发育情况。收集开发区建设规划、专项规划、土地利用规划等各类规划，明确评估区工程建设类型及其对地质环境扰动特点。</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地质环境调查。调查评估区地貌成因和形态类型，微地貌分布特征，分析评价地貌形态、高程及其对工程的影响。调查评估区地层岩性的分布特征，褶皱、断裂发育特点，分析评估区及邻近地区区域地质背景，地质构造与地震地质特征，确定地壳稳定性类型。调查评估区及附近第四纪地层成因时代及埋藏分布与岩性特征。</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开展水文地质调查。查明地下水类型、水文地质结构特征和补迳排条件，调查地下水开发利用情况、地下水水位及动态特征，调查精度应不低于1：10000区域水文地质调查要求。水文地质钻孔数量一般不少于1个/10km</w:t>
      </w:r>
      <w:r>
        <w:rPr>
          <w:rFonts w:hint="eastAsia" w:asciiTheme="minorEastAsia" w:hAnsiTheme="minorEastAsia" w:eastAsiaTheme="minorEastAsia"/>
          <w:bCs/>
          <w:sz w:val="24"/>
          <w:vertAlign w:val="superscript"/>
        </w:rPr>
        <w:t xml:space="preserve">2</w:t>
      </w:r>
      <w:r>
        <w:rPr>
          <w:rFonts w:hint="eastAsia" w:asciiTheme="minorEastAsia" w:hAnsiTheme="minorEastAsia" w:eastAsiaTheme="minorEastAsia"/>
          <w:bCs/>
          <w:sz w:val="24"/>
        </w:rPr>
        <w:t xml:space="preserve">（面积小于5km</w:t>
      </w:r>
      <w:r>
        <w:rPr>
          <w:rFonts w:hint="eastAsia" w:asciiTheme="minorEastAsia" w:hAnsiTheme="minorEastAsia" w:eastAsiaTheme="minorEastAsia"/>
          <w:bCs/>
          <w:sz w:val="24"/>
          <w:vertAlign w:val="superscript"/>
        </w:rPr>
        <w:t xml:space="preserve">2</w:t>
      </w:r>
      <w:r>
        <w:rPr>
          <w:rFonts w:hint="eastAsia" w:asciiTheme="minorEastAsia" w:hAnsiTheme="minorEastAsia" w:eastAsiaTheme="minorEastAsia"/>
          <w:bCs/>
          <w:sz w:val="24"/>
        </w:rPr>
        <w:t xml:space="preserve">的开发区至少有1个水文地质钻孔），如收集的资料达不到要求，将补充开展水文地质钻探。分析地下水类型、含水岩组特征及分布规律，阐明含水层类型、成因时代、岩性、富水性、埋藏条件，地下水的补给、径流、排泄条件和水化学类型等。</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调查评估区工程地质条件、不良工程地质现象，调查精度达到1：5000工程地质调查要求。每个工程地质分区钻孔数量不少于1个/km</w:t>
      </w:r>
      <w:r>
        <w:rPr>
          <w:rFonts w:hint="eastAsia" w:asciiTheme="minorEastAsia" w:hAnsiTheme="minorEastAsia" w:eastAsiaTheme="minorEastAsia"/>
          <w:bCs/>
          <w:sz w:val="24"/>
          <w:vertAlign w:val="superscript"/>
        </w:rPr>
        <w:t xml:space="preserve">2</w:t>
      </w:r>
      <w:r>
        <w:rPr>
          <w:rFonts w:hint="eastAsia" w:asciiTheme="minorEastAsia" w:hAnsiTheme="minorEastAsia" w:eastAsiaTheme="minorEastAsia"/>
          <w:bCs/>
          <w:sz w:val="24"/>
        </w:rPr>
        <w:t xml:space="preserve">，每个工程地质分区都应满足钻孔控制要求，如收集的资料达不到要求，补充开展工程地质钻探。</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野外调查应充分了解项目建设特点的基础上，仔细分析、研究和评价项目建设与地质环境之间可能相互产生的影响，以建设性思路，高质量、前瞻性地做好地质灾害评估工作。同时根据评估区地质环境条件和建设规划特点，对评估区进行野外地质环境的调查（包含评估区工程建设的特点及人类工程活动对地质环境的影响等），并结合工程钻机对评估区的工程地质、水文地质进行调查，充分查明评估区工程地质条件、不良工程地质现象、地下水类型、水文地质结构特征和补迳排条件等情况，为区域评估报告的编写提供必要的数据支撑。</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（3）地质灾害调查。基本查明评估区及周边已发生（或潜在）各种地质灾害的形成条件、分布类型、活动规模、变形特征、诱发因素与形成机制，对其发育程度进行初步评价。针对不同灾种进行重点调查。</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（4）综合研究及地质灾害危险性区域评估</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根据地质灾害危险性评估、区域评估等有关规范、技术要求，开展开发区地质灾害危险性的现状、预测和综合评估，结合未来的工程建设情况，分工况进行预测和综合评估。</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（5）建立地质灾害危险性评估查询成果库。</w:t>
      </w:r>
      <w:r/>
    </w:p>
    <w:p>
      <w:pPr>
        <w:ind w:firstLine="482"/>
        <w:spacing w:after="5" w:line="44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5. 成果文件要求</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成果构成：包括但不限于《园区地质灾害危险性区域评估报告》：</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1）提供纸质版成果文件4份，电子文件1份；</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2）提供成果文件文本规格为A3或A4，包括报告，图纸等，要求胶装。</w:t>
      </w:r>
      <w:r/>
    </w:p>
    <w:p>
      <w:pPr>
        <w:ind w:firstLine="480"/>
        <w:spacing w:after="5"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3）电子文件即成果文件的电子版本，以PDF格式提供。</w:t>
      </w:r>
      <w:r/>
    </w:p>
    <w:p>
      <w:pPr>
        <w:ind w:firstLine="482"/>
        <w:spacing w:after="5" w:line="44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6.验收要求</w:t>
      </w:r>
      <w:r/>
    </w:p>
    <w:p>
      <w:pPr>
        <w:ind w:firstLine="480"/>
        <w:spacing w:after="5"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rPr>
        <w:t xml:space="preserve">交付</w:t>
      </w:r>
      <w:bookmarkStart w:id="205" w:name="OLE_LINK72"/>
      <w:r/>
      <w:bookmarkStart w:id="206" w:name="OLE_LINK71"/>
      <w:r>
        <w:rPr>
          <w:rFonts w:hint="eastAsia" w:asciiTheme="minorEastAsia" w:hAnsiTheme="minorEastAsia" w:eastAsiaTheme="minorEastAsia"/>
          <w:bCs/>
          <w:sz w:val="24"/>
        </w:rPr>
        <w:t xml:space="preserve">成果须符合国家及省市相关法律法规、政策文件和相关规划，并满足甲方要求，经专家评审论证通过，并经甲方审核通过。</w:t>
      </w:r>
      <w:bookmarkEnd w:id="205"/>
      <w:r/>
      <w:bookmarkEnd w:id="206"/>
      <w:r/>
      <w:bookmarkEnd w:id="203"/>
      <w:bookmarkEnd w:id="204"/>
      <w:r/>
    </w:p>
    <w:p>
      <w:pPr>
        <w:ind w:firstLine="569"/>
        <w:spacing w:line="440" w:lineRule="exact"/>
        <w:tabs>
          <w:tab w:val="left" w:pos="210" w:leader="none"/>
          <w:tab w:val="left" w:pos="840" w:leader="none"/>
          <w:tab w:val="left" w:pos="1260"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七、甲方的权利与义务</w:t>
      </w:r>
      <w:r/>
    </w:p>
    <w:p>
      <w:pPr>
        <w:ind w:firstLine="520"/>
        <w:spacing w:line="440" w:lineRule="exact"/>
        <w:tabs>
          <w:tab w:val="left" w:pos="210" w:leader="none"/>
          <w:tab w:val="left" w:pos="840" w:leader="none"/>
          <w:tab w:val="left" w:pos="12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1．甲方应按乙方的要求及时提交有关的项目资料，并对其完整性、正确性及时性负责，甲方不得要求乙方违反国家有关标准进行评价。</w:t>
      </w:r>
      <w:r/>
    </w:p>
    <w:p>
      <w:pPr>
        <w:ind w:firstLine="520"/>
        <w:spacing w:line="440" w:lineRule="exact"/>
        <w:tabs>
          <w:tab w:val="left" w:pos="210" w:leader="none"/>
          <w:tab w:val="left" w:pos="840" w:leader="none"/>
          <w:tab w:val="left" w:pos="12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2．甲方有权向乙方询问工作进展情况及相关的内容。</w:t>
      </w:r>
      <w:r/>
    </w:p>
    <w:p>
      <w:pPr>
        <w:ind w:firstLine="520"/>
        <w:spacing w:line="440" w:lineRule="exact"/>
        <w:tabs>
          <w:tab w:val="left" w:pos="210" w:leader="none"/>
          <w:tab w:val="left" w:pos="840" w:leader="none"/>
          <w:tab w:val="left" w:pos="12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3．甲方有权阐述对具体问题的意见和建议。 </w:t>
      </w:r>
      <w:r/>
    </w:p>
    <w:p>
      <w:pPr>
        <w:ind w:firstLine="520"/>
        <w:spacing w:line="440" w:lineRule="exact"/>
        <w:tabs>
          <w:tab w:val="left" w:pos="210" w:leader="none"/>
          <w:tab w:val="left" w:pos="840" w:leader="none"/>
          <w:tab w:val="left" w:pos="12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4．当甲方认定乙方服务人员不按本合同履行其职责时，甲方有权要求更换服务人员，直至解除本合同并要求乙方承担相应的赔偿责任。</w:t>
      </w:r>
      <w:r/>
    </w:p>
    <w:p>
      <w:pPr>
        <w:ind w:firstLine="569"/>
        <w:spacing w:line="440" w:lineRule="exact"/>
        <w:tabs>
          <w:tab w:val="left" w:pos="210" w:leader="none"/>
          <w:tab w:val="left" w:pos="840" w:leader="none"/>
          <w:tab w:val="left" w:pos="1260" w:leader="none"/>
        </w:tabs>
        <w:rPr>
          <w:rFonts w:asciiTheme="minorEastAsia" w:hAnsiTheme="minorEastAsia" w:eastAsiaTheme="minorEastAsia"/>
          <w:bCs/>
          <w:sz w:val="24"/>
          <w:szCs w:val="24"/>
        </w:rPr>
      </w:pPr>
      <w:r>
        <w:rPr>
          <w:rFonts w:hint="eastAsia" w:asciiTheme="minorEastAsia" w:hAnsiTheme="minorEastAsia" w:eastAsiaTheme="minorEastAsia"/>
          <w:b/>
          <w:bCs/>
          <w:sz w:val="24"/>
          <w:szCs w:val="24"/>
        </w:rPr>
        <w:t xml:space="preserve">八、乙方的权利与义务</w:t>
      </w:r>
      <w:r/>
    </w:p>
    <w:p>
      <w:pPr>
        <w:ind w:firstLine="520"/>
        <w:spacing w:line="440" w:lineRule="exact"/>
        <w:tabs>
          <w:tab w:val="left" w:pos="210" w:leader="none"/>
          <w:tab w:val="left" w:pos="840" w:leader="none"/>
          <w:tab w:val="left" w:pos="12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1．乙方应根据委托事项的实际情况配备足够的、有相应经验的服务人员。 </w:t>
      </w:r>
      <w:r/>
    </w:p>
    <w:p>
      <w:pPr>
        <w:ind w:firstLine="520"/>
        <w:spacing w:line="440" w:lineRule="exact"/>
        <w:tabs>
          <w:tab w:val="left" w:pos="210" w:leader="none"/>
          <w:tab w:val="left" w:pos="840" w:leader="none"/>
          <w:tab w:val="left" w:pos="12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2．乙方在报告编制过程中，如认为甲方提供的资料不明确时应向甲方提出澄清或补充有关资料。</w:t>
      </w:r>
      <w:r/>
    </w:p>
    <w:p>
      <w:pPr>
        <w:ind w:firstLine="520"/>
        <w:spacing w:line="440" w:lineRule="exact"/>
        <w:tabs>
          <w:tab w:val="left" w:pos="210" w:leader="none"/>
          <w:tab w:val="left" w:pos="840" w:leader="none"/>
          <w:tab w:val="left" w:pos="12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3．乙方在报告编制过程中，有权向甲方提出与本业务有关问题的核对或查询。对甲方提请注意的事项，乙方应依其要求办理。</w:t>
      </w:r>
      <w:r/>
    </w:p>
    <w:p>
      <w:pPr>
        <w:ind w:firstLine="520"/>
        <w:spacing w:line="440" w:lineRule="exact"/>
        <w:tabs>
          <w:tab w:val="left" w:pos="210" w:leader="none"/>
          <w:tab w:val="left" w:pos="840" w:leader="none"/>
          <w:tab w:val="left" w:pos="12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4．乙方必须按合同、相关法规规范、甲方的要求和意见，以专业的操守按质按量按时完成报告编制工作并提交成果文件。在工作中，乙方须认真研究合同及其补充、修订协议、甲方交给的相关文件资料，全面收集和认真分析研究各种相关工程实际情况信息资料，认真听取甲方意见。 </w:t>
      </w:r>
      <w:r/>
    </w:p>
    <w:p>
      <w:pPr>
        <w:ind w:firstLine="520"/>
        <w:spacing w:line="440" w:lineRule="exact"/>
        <w:tabs>
          <w:tab w:val="left" w:pos="210" w:leader="none"/>
          <w:tab w:val="left" w:pos="840" w:leader="none"/>
          <w:tab w:val="left" w:pos="12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5．在履行本合同期间或合同规定期限内，不得泄露与本合同规定业务活动有关的保密资料。</w:t>
      </w:r>
      <w:r/>
    </w:p>
    <w:p>
      <w:pPr>
        <w:ind w:firstLine="520"/>
        <w:spacing w:line="440" w:lineRule="exact"/>
        <w:tabs>
          <w:tab w:val="left" w:pos="210" w:leader="none"/>
          <w:tab w:val="left" w:pos="840" w:leader="none"/>
          <w:tab w:val="left" w:pos="12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6．乙方负责对编制报告进行审查，负责该合同项目的联络工作。</w:t>
      </w:r>
      <w:r/>
    </w:p>
    <w:p>
      <w:pPr>
        <w:ind w:firstLine="520"/>
        <w:spacing w:line="440" w:lineRule="exact"/>
        <w:tabs>
          <w:tab w:val="left" w:pos="210" w:leader="none"/>
          <w:tab w:val="left" w:pos="840" w:leader="none"/>
          <w:tab w:val="left" w:pos="12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7．乙方对成果报告中出现的遗漏或错误负责修改或补充。由于乙方错误造成工程质量事故损失，乙方除负责采取补救措施外，应免收受损失部分的费用，并根据损失程度向甲方支付赔偿金，赔偿金数额由双方商定，但赔偿总额累计不超过合同总额的20%。</w:t>
      </w:r>
      <w:r/>
    </w:p>
    <w:p>
      <w:pPr>
        <w:ind w:firstLine="523"/>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九、付款方式</w:t>
      </w:r>
      <w:r/>
    </w:p>
    <w:p>
      <w:pPr>
        <w:ind w:firstLine="520"/>
        <w:spacing w:line="440" w:lineRule="exact"/>
        <w:tabs>
          <w:tab w:val="left" w:pos="210" w:leader="none"/>
          <w:tab w:val="left" w:pos="840" w:leader="none"/>
          <w:tab w:val="left" w:pos="1260" w:leader="none"/>
        </w:tabs>
        <w:rPr>
          <w:rFonts w:hint="eastAsia" w:cs="Times New Roman" w:asciiTheme="minorEastAsia" w:hAnsiTheme="minorEastAsia" w:eastAsiaTheme="minorEastAsia"/>
          <w:sz w:val="24"/>
          <w:szCs w:val="21"/>
        </w:rPr>
      </w:pPr>
      <w:r>
        <w:rPr>
          <w:rFonts w:hint="eastAsia" w:cs="Times New Roman" w:asciiTheme="minorEastAsia" w:hAnsiTheme="minorEastAsia" w:eastAsiaTheme="minorEastAsia"/>
          <w:sz w:val="24"/>
          <w:szCs w:val="21"/>
        </w:rPr>
        <w:t xml:space="preserve">1.合同价款支付办法：</w:t>
      </w:r>
      <w:r/>
    </w:p>
    <w:p>
      <w:pPr>
        <w:ind w:firstLine="520"/>
        <w:spacing w:line="440" w:lineRule="exact"/>
        <w:tabs>
          <w:tab w:val="left" w:pos="210" w:leader="none"/>
          <w:tab w:val="left" w:pos="840" w:leader="none"/>
          <w:tab w:val="left" w:pos="1260" w:leader="none"/>
        </w:tabs>
        <w:rPr>
          <w:rFonts w:hint="default" w:cs="Times New Roman" w:asciiTheme="minorEastAsia" w:hAnsiTheme="minorEastAsia" w:eastAsiaTheme="minorEastAsia"/>
          <w:sz w:val="24"/>
          <w:szCs w:val="21"/>
          <w:lang w:val="en-US" w:eastAsia="zh-CN"/>
        </w:rPr>
      </w:pPr>
      <w:r>
        <w:rPr>
          <w:rFonts w:hint="eastAsia" w:cs="Times New Roman" w:asciiTheme="minorEastAsia" w:hAnsiTheme="minorEastAsia" w:eastAsiaTheme="minorEastAsia"/>
          <w:sz w:val="24"/>
          <w:szCs w:val="21"/>
          <w:lang w:val="en-US" w:eastAsia="zh-CN"/>
        </w:rPr>
        <w:t xml:space="preserve">合同签订并进场勘探后付合同价的40%，出具评估报告后付至合同价的70%，通过专家评审后付清余款。合同所涉款项均支付至乙方指定收款银行账户。</w:t>
      </w:r>
      <w:r/>
    </w:p>
    <w:p>
      <w:pPr>
        <w:ind w:firstLine="520"/>
        <w:spacing w:line="440" w:lineRule="exact"/>
        <w:tabs>
          <w:tab w:val="left" w:pos="210" w:leader="none"/>
          <w:tab w:val="left" w:pos="840" w:leader="none"/>
          <w:tab w:val="left" w:pos="1260" w:leader="none"/>
        </w:tabs>
        <w:rPr>
          <w:rFonts w:hint="eastAsia" w:cs="Times New Roman" w:asciiTheme="minorEastAsia" w:hAnsiTheme="minorEastAsia" w:eastAsiaTheme="minorEastAsia"/>
          <w:sz w:val="24"/>
          <w:szCs w:val="21"/>
        </w:rPr>
      </w:pPr>
      <w:r>
        <w:rPr>
          <w:rFonts w:hint="eastAsia" w:cs="Times New Roman" w:asciiTheme="minorEastAsia" w:hAnsiTheme="minorEastAsia" w:eastAsiaTheme="minorEastAsia"/>
          <w:sz w:val="24"/>
          <w:szCs w:val="21"/>
        </w:rPr>
        <w:t xml:space="preserve">付款前，乙方须提供符合甲方财务要求的</w:t>
      </w:r>
      <w:r>
        <w:rPr>
          <w:rFonts w:hint="eastAsia" w:cs="Times New Roman" w:asciiTheme="minorEastAsia" w:hAnsiTheme="minorEastAsia" w:eastAsiaTheme="minorEastAsia"/>
          <w:sz w:val="24"/>
          <w:szCs w:val="21"/>
          <w:lang w:val="en-US" w:eastAsia="zh-CN"/>
        </w:rPr>
        <w:t xml:space="preserve">增值税</w:t>
      </w:r>
      <w:r>
        <w:rPr>
          <w:rFonts w:hint="eastAsia" w:cs="Times New Roman" w:asciiTheme="minorEastAsia" w:hAnsiTheme="minorEastAsia" w:eastAsiaTheme="minorEastAsia"/>
          <w:sz w:val="24"/>
          <w:szCs w:val="21"/>
        </w:rPr>
        <w:t xml:space="preserve">发票</w:t>
      </w:r>
      <w:r>
        <w:rPr>
          <w:rFonts w:hint="eastAsia" w:cs="Times New Roman" w:asciiTheme="minorEastAsia" w:hAnsiTheme="minorEastAsia" w:eastAsiaTheme="minorEastAsia"/>
          <w:sz w:val="24"/>
          <w:szCs w:val="21"/>
          <w:lang w:eastAsia="zh-CN"/>
        </w:rPr>
        <w:t xml:space="preserve">，</w:t>
      </w:r>
      <w:r>
        <w:rPr>
          <w:rFonts w:hint="eastAsia" w:cs="Times New Roman" w:asciiTheme="minorEastAsia" w:hAnsiTheme="minorEastAsia" w:eastAsiaTheme="minorEastAsia"/>
          <w:sz w:val="24"/>
          <w:szCs w:val="21"/>
          <w:lang w:val="en-US" w:eastAsia="zh-CN"/>
        </w:rPr>
        <w:t xml:space="preserve">否则甲方有权拒绝付款，且不因此承担逾期付款的违约责任</w:t>
      </w:r>
      <w:r>
        <w:rPr>
          <w:rFonts w:hint="eastAsia" w:cs="Times New Roman" w:asciiTheme="minorEastAsia" w:hAnsiTheme="minorEastAsia" w:eastAsiaTheme="minorEastAsia"/>
          <w:sz w:val="24"/>
          <w:szCs w:val="21"/>
        </w:rPr>
        <w:t xml:space="preserve">。</w:t>
      </w:r>
      <w:r/>
    </w:p>
    <w:p>
      <w:pPr>
        <w:ind w:firstLine="482"/>
        <w:spacing w:line="44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2.乙方</w:t>
      </w:r>
      <w:r>
        <w:rPr>
          <w:rFonts w:hint="eastAsia" w:asciiTheme="minorEastAsia" w:hAnsiTheme="minorEastAsia" w:eastAsiaTheme="minorEastAsia"/>
          <w:b/>
          <w:sz w:val="24"/>
          <w:szCs w:val="24"/>
          <w:lang w:val="en-US" w:eastAsia="zh-CN"/>
        </w:rPr>
        <w:t xml:space="preserve">收款银行</w:t>
      </w:r>
      <w:r>
        <w:rPr>
          <w:rFonts w:hint="eastAsia" w:asciiTheme="minorEastAsia" w:hAnsiTheme="minorEastAsia" w:eastAsiaTheme="minorEastAsia"/>
          <w:b/>
          <w:sz w:val="24"/>
          <w:szCs w:val="24"/>
        </w:rPr>
        <w:t xml:space="preserve">账户信息：</w:t>
      </w:r>
      <w:r/>
    </w:p>
    <w:p>
      <w:pPr>
        <w:ind w:firstLine="480"/>
        <w:spacing w:line="44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账户名称：</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p>
    <w:p>
      <w:pPr>
        <w:ind w:firstLine="480"/>
        <w:spacing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开户银行：</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p>
    <w:p>
      <w:pPr>
        <w:ind w:firstLine="480"/>
        <w:spacing w:line="440" w:lineRule="exact"/>
        <w:tabs>
          <w:tab w:val="left" w:pos="210" w:leader="none"/>
          <w:tab w:val="left" w:pos="840" w:leader="none"/>
          <w:tab w:val="left" w:pos="1260" w:leader="none"/>
        </w:tabs>
        <w:rPr>
          <w:rFonts w:asciiTheme="minorEastAsia" w:hAnsiTheme="minorEastAsia" w:eastAsiaTheme="minorEastAsia"/>
          <w:b/>
          <w:bCs/>
          <w:color w:val="0000ff"/>
          <w:sz w:val="24"/>
          <w:u w:val="single"/>
        </w:rPr>
      </w:pPr>
      <w:r>
        <w:rPr>
          <w:rFonts w:hint="eastAsia" w:asciiTheme="minorEastAsia" w:hAnsiTheme="minorEastAsia" w:eastAsiaTheme="minorEastAsia"/>
          <w:bCs/>
          <w:sz w:val="24"/>
        </w:rPr>
        <w:t xml:space="preserve">银行账号：</w:t>
      </w:r>
      <w:r>
        <w:rPr>
          <w:rFonts w:asciiTheme="minorEastAsia" w:hAnsiTheme="minorEastAsia" w:eastAsiaTheme="minorEastAsia"/>
          <w:bCs/>
          <w:sz w:val="24"/>
          <w:u w:val="single"/>
        </w:rPr>
        <w:t xml:space="preserve">                     </w:t>
      </w:r>
      <w:r/>
    </w:p>
    <w:p>
      <w:pPr>
        <w:ind w:firstLine="482"/>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十、违约责任</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1.合同乙方不履行合同义务或者履行合同义务不符合规定的，应当承担继续履行、采取补救措施或者赔偿损失等违约责任。</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2.因乙方原因造成本合同无法按时签订，视为乙方违约，甲方有权终止合同；乙方违约对甲方造成损失的，乙方还需另行支付相应的赔偿。</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3.合同期间，甲方不得无故终止合同，如终止合同，非乙方责任，乙方有权要求甲方在付清实际应支付服务费的基础上再赔偿对应全部服务费的30%。</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合同期间，乙方不得无故终止合同，如终止此合同，非甲方责任，甲方无需支付服务费且乙方需</w:t>
      </w:r>
      <w:r>
        <w:rPr>
          <w:rFonts w:hint="eastAsia" w:asciiTheme="minorEastAsia" w:hAnsiTheme="minorEastAsia" w:eastAsiaTheme="minorEastAsia"/>
          <w:sz w:val="24"/>
          <w:lang w:val="en-US" w:eastAsia="zh-CN"/>
        </w:rPr>
        <w:t xml:space="preserve">向</w:t>
      </w:r>
      <w:r>
        <w:rPr>
          <w:rFonts w:hint="eastAsia" w:asciiTheme="minorEastAsia" w:hAnsiTheme="minorEastAsia" w:eastAsiaTheme="minorEastAsia"/>
          <w:sz w:val="24"/>
        </w:rPr>
        <w:t xml:space="preserve">甲方</w:t>
      </w:r>
      <w:r>
        <w:rPr>
          <w:rFonts w:hint="eastAsia" w:asciiTheme="minorEastAsia" w:hAnsiTheme="minorEastAsia" w:eastAsiaTheme="minorEastAsia"/>
          <w:sz w:val="24"/>
          <w:lang w:val="en-US" w:eastAsia="zh-CN"/>
        </w:rPr>
        <w:t xml:space="preserve">支付</w:t>
      </w:r>
      <w:r>
        <w:rPr>
          <w:rFonts w:hint="eastAsia" w:asciiTheme="minorEastAsia" w:hAnsiTheme="minorEastAsia" w:eastAsiaTheme="minorEastAsia"/>
          <w:sz w:val="24"/>
        </w:rPr>
        <w:t xml:space="preserve">全部服务费的</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0%</w:t>
      </w:r>
      <w:r>
        <w:rPr>
          <w:rFonts w:hint="eastAsia" w:asciiTheme="minorEastAsia" w:hAnsiTheme="minorEastAsia" w:eastAsiaTheme="minorEastAsia"/>
          <w:sz w:val="24"/>
          <w:lang w:val="en-US" w:eastAsia="zh-CN"/>
        </w:rPr>
        <w:t xml:space="preserve">计取的违约金</w:t>
      </w:r>
      <w:r>
        <w:rPr>
          <w:rFonts w:hint="eastAsia" w:asciiTheme="minorEastAsia" w:hAnsiTheme="minorEastAsia" w:eastAsiaTheme="minorEastAsia"/>
          <w:sz w:val="24"/>
        </w:rPr>
        <w:t xml:space="preserve">。</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6.在明确违约责任后，乙方应在接到书面通知书起七天内支付违约金、赔偿金等。</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7.违约金不足以支付守约方实际损失的，违约方应当赔偿守约方所有的实际损失。</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8.本合同生效后，如果一方违约，违约方除了应当承担违约责任支付违约金外，还应当承担守约方向违约方主张权利所产生的一切费用，包括但不限于律师费、诉讼费、检测费、鉴定费等。</w:t>
      </w:r>
      <w:r/>
    </w:p>
    <w:p>
      <w:pPr>
        <w:ind w:firstLine="523"/>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十一、不可抗力</w:t>
      </w:r>
      <w:r/>
    </w:p>
    <w:p>
      <w:pPr>
        <w:ind w:firstLine="480"/>
        <w:spacing w:line="440" w:lineRule="exact"/>
        <w:tabs>
          <w:tab w:val="left" w:pos="0" w:leader="none"/>
          <w:tab w:val="left" w:pos="927"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1.因不可抗力不能履行合同的，根据不可抗力的影响，部分或者全部免除责任，但合同一方延迟履行后发生不可抗力的，不能免除责任。</w:t>
      </w:r>
      <w:r/>
    </w:p>
    <w:p>
      <w:pPr>
        <w:ind w:firstLine="480"/>
        <w:spacing w:line="440" w:lineRule="exact"/>
        <w:tabs>
          <w:tab w:val="left" w:pos="0" w:leader="none"/>
          <w:tab w:val="left" w:pos="927"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2.合同一方因不可抗力不能履行合同的，应当及时通知对方，以减轻可能给对方造成的损失，并应当在合理期限内提供证明。</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3.由于第三方或不可抗力原因造成合同部分或全部暂停的，其费用由双方协商确定。</w:t>
      </w:r>
      <w:r/>
    </w:p>
    <w:p>
      <w:pPr>
        <w:ind w:firstLine="523"/>
        <w:spacing w:line="440" w:lineRule="exact"/>
        <w:tabs>
          <w:tab w:val="left" w:pos="210" w:leader="none"/>
          <w:tab w:val="left" w:pos="840" w:leader="none"/>
          <w:tab w:val="left" w:pos="1260" w:leader="none"/>
        </w:tabs>
        <w:rPr>
          <w:rFonts w:asciiTheme="minorEastAsia" w:hAnsiTheme="minorEastAsia" w:eastAsiaTheme="minorEastAsia"/>
          <w:b/>
          <w:sz w:val="24"/>
        </w:rPr>
      </w:pPr>
      <w:r>
        <w:rPr>
          <w:rFonts w:hint="eastAsia" w:asciiTheme="minorEastAsia" w:hAnsiTheme="minorEastAsia" w:eastAsiaTheme="minorEastAsia"/>
          <w:b/>
          <w:sz w:val="24"/>
          <w:szCs w:val="24"/>
        </w:rPr>
        <w:t xml:space="preserve">十二、</w:t>
      </w:r>
      <w:r>
        <w:rPr>
          <w:rFonts w:hint="eastAsia" w:asciiTheme="minorEastAsia" w:hAnsiTheme="minorEastAsia" w:eastAsiaTheme="minorEastAsia"/>
          <w:b/>
          <w:sz w:val="24"/>
        </w:rPr>
        <w:t xml:space="preserve">保密要求</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bCs/>
          <w:sz w:val="24"/>
        </w:rPr>
        <w:t xml:space="preserve">乙方必须对本项目技术文件以及由甲方提供的所有内部资料、技术文档和信息予以保密，未经甲方书面许可，乙方不得以任何形式向第三方透露本合同以及本项目的任何内容，且乙方应保证本项目团队成员达到上述保密要求。</w:t>
      </w:r>
      <w:r/>
    </w:p>
    <w:p>
      <w:pPr>
        <w:ind w:left="523"/>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十三、解决争议的方式</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Theme="minorEastAsia" w:hAnsiTheme="minorEastAsia" w:eastAsiaTheme="minorEastAsia"/>
          <w:sz w:val="24"/>
          <w:u w:val="single"/>
        </w:rPr>
        <w:t xml:space="preserve">（2）</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（1）向南通仲裁委员会申请仲裁。</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（2）向甲方所在地法院提起诉讼。</w:t>
      </w:r>
      <w:r/>
    </w:p>
    <w:p>
      <w:pPr>
        <w:ind w:left="523"/>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十四、其他事项</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1.合同在执行过程中出现的未尽事宜，双方在不违背本合同和比价采购文件的原则下协商解决，协商结果以书面形式签订补充协议，且补充协议与本合同具有同等效力。</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2.合同中未有约定的按照有关的法律法规以及国家行业标准或技术文件规定予以解决。</w:t>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3.甲乙双方确认：对本合同条款及后果均已知悉，一致确认不存在欺诈、胁迫、乘人之危、重大误解、显失公平等任何可能导致合同无效或被撤销的情形。</w:t>
      </w:r>
      <w:r/>
    </w:p>
    <w:p>
      <w:pPr>
        <w:ind w:firstLine="480"/>
        <w:spacing w:line="440" w:lineRule="exact"/>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 xml:space="preserve">4、文书函件送达：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r/>
    </w:p>
    <w:p>
      <w:pPr>
        <w:ind w:left="523"/>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十五、合同不可分割部分</w:t>
      </w:r>
      <w:r/>
    </w:p>
    <w:p>
      <w:pPr>
        <w:ind w:firstLine="480"/>
        <w:spacing w:line="440" w:lineRule="exact"/>
        <w:tabs>
          <w:tab w:val="left" w:pos="210" w:leader="none"/>
          <w:tab w:val="left" w:pos="420" w:leader="none"/>
          <w:tab w:val="left" w:pos="115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比价采购文件、响应文件、合同条款及成交通知书，乙方在响应、评标过程中所作其他有关承诺、声明、书面澄清等均为合同不可分割的部分，与主合同具有同等法律效力。</w:t>
      </w:r>
      <w:r/>
    </w:p>
    <w:p>
      <w:pPr>
        <w:ind w:left="523"/>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lang w:val="en-US" w:eastAsia="zh-CN"/>
        </w:rPr>
      </w:pPr>
      <w:r>
        <w:rPr>
          <w:rFonts w:hint="eastAsia" w:asciiTheme="minorEastAsia" w:hAnsiTheme="minorEastAsia" w:eastAsiaTheme="minorEastAsia"/>
          <w:b/>
          <w:sz w:val="24"/>
          <w:szCs w:val="24"/>
        </w:rPr>
        <w:t xml:space="preserve">十六、合同</w:t>
      </w:r>
      <w:r>
        <w:rPr>
          <w:rFonts w:hint="eastAsia" w:asciiTheme="minorEastAsia" w:hAnsiTheme="minorEastAsia" w:eastAsiaTheme="minorEastAsia"/>
          <w:b/>
          <w:sz w:val="24"/>
          <w:szCs w:val="24"/>
          <w:lang w:val="en-US" w:eastAsia="zh-CN"/>
        </w:rPr>
        <w:t xml:space="preserve">份数</w:t>
      </w:r>
      <w:r/>
    </w:p>
    <w:p>
      <w:pPr>
        <w:ind w:firstLine="480"/>
        <w:spacing w:line="440" w:lineRule="exact"/>
        <w:tabs>
          <w:tab w:val="left" w:pos="210" w:leader="none"/>
          <w:tab w:val="left" w:pos="735" w:leader="none"/>
          <w:tab w:val="left" w:pos="115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合同一式陆份，自双方签订之日起生效。甲方执叁份，乙方执贰份，具有同等法律效力。</w:t>
      </w:r>
      <w:r/>
    </w:p>
    <w:p>
      <w:pPr>
        <w:ind w:left="523"/>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十七、合同生效</w:t>
      </w:r>
      <w:r/>
    </w:p>
    <w:p>
      <w:pPr>
        <w:ind w:firstLine="480"/>
        <w:spacing w:line="440" w:lineRule="exact"/>
        <w:tabs>
          <w:tab w:val="left" w:pos="210" w:leader="none"/>
          <w:tab w:val="left" w:pos="735" w:leader="none"/>
          <w:tab w:val="left" w:pos="115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本合同由甲乙双方</w:t>
      </w:r>
      <w:r>
        <w:rPr>
          <w:rFonts w:hint="eastAsia" w:asciiTheme="minorEastAsia" w:hAnsiTheme="minorEastAsia" w:eastAsiaTheme="minorEastAsia"/>
          <w:bCs/>
          <w:sz w:val="24"/>
          <w:szCs w:val="24"/>
          <w:lang w:val="en-US" w:eastAsia="zh-CN"/>
        </w:rPr>
        <w:t xml:space="preserve">法定【授权】代表人</w:t>
      </w:r>
      <w:r>
        <w:rPr>
          <w:rFonts w:hint="eastAsia" w:asciiTheme="minorEastAsia" w:hAnsiTheme="minorEastAsia" w:eastAsiaTheme="minorEastAsia"/>
          <w:bCs/>
          <w:sz w:val="24"/>
          <w:szCs w:val="24"/>
        </w:rPr>
        <w:t xml:space="preserve">签字</w:t>
      </w:r>
      <w:r>
        <w:rPr>
          <w:rFonts w:hint="eastAsia" w:asciiTheme="minorEastAsia" w:hAnsiTheme="minorEastAsia" w:eastAsiaTheme="minorEastAsia"/>
          <w:bCs/>
          <w:sz w:val="24"/>
          <w:szCs w:val="24"/>
          <w:lang w:val="en-US" w:eastAsia="zh-CN"/>
        </w:rPr>
        <w:t xml:space="preserve">或盖章</w:t>
      </w:r>
      <w:r>
        <w:rPr>
          <w:rFonts w:hint="eastAsia" w:asciiTheme="minorEastAsia" w:hAnsiTheme="minorEastAsia" w:eastAsiaTheme="minorEastAsia"/>
          <w:bCs/>
          <w:sz w:val="24"/>
          <w:szCs w:val="24"/>
        </w:rPr>
        <w:t xml:space="preserve">并加盖</w:t>
      </w:r>
      <w:r>
        <w:rPr>
          <w:rFonts w:hint="eastAsia" w:asciiTheme="minorEastAsia" w:hAnsiTheme="minorEastAsia" w:eastAsiaTheme="minorEastAsia"/>
          <w:bCs/>
          <w:sz w:val="24"/>
          <w:szCs w:val="24"/>
          <w:lang w:val="en-US" w:eastAsia="zh-CN"/>
        </w:rPr>
        <w:t xml:space="preserve">双方</w:t>
      </w:r>
      <w:r>
        <w:rPr>
          <w:rFonts w:hint="eastAsia" w:asciiTheme="minorEastAsia" w:hAnsiTheme="minorEastAsia" w:eastAsiaTheme="minorEastAsia"/>
          <w:bCs/>
          <w:sz w:val="24"/>
          <w:szCs w:val="24"/>
        </w:rPr>
        <w:t xml:space="preserve">公章后生效。</w:t>
      </w:r>
      <w:r/>
    </w:p>
    <w:p>
      <w:pPr>
        <w:ind w:firstLine="0"/>
        <w:spacing w:line="440" w:lineRule="exact"/>
        <w:tabs>
          <w:tab w:val="left" w:pos="210" w:leader="none"/>
          <w:tab w:val="left" w:pos="840" w:leader="none"/>
          <w:tab w:val="left" w:pos="1155" w:leader="none"/>
        </w:tabs>
        <w:rPr>
          <w:rFonts w:asciiTheme="minorEastAsia" w:hAnsiTheme="minorEastAsia" w:eastAsiaTheme="minorEastAsia"/>
          <w:sz w:val="24"/>
        </w:rPr>
      </w:pPr>
      <w:r>
        <w:rPr>
          <w:rFonts w:asciiTheme="minorEastAsia" w:hAnsiTheme="minorEastAsia" w:eastAsiaTheme="minorEastAsia"/>
          <w:sz w:val="24"/>
        </w:rPr>
      </w:r>
      <w:r/>
    </w:p>
    <w:p>
      <w:pPr>
        <w:ind w:firstLine="0"/>
        <w:spacing w:line="440" w:lineRule="exact"/>
        <w:tabs>
          <w:tab w:val="left" w:pos="210" w:leader="none"/>
          <w:tab w:val="left" w:pos="840" w:leader="none"/>
          <w:tab w:val="left" w:pos="1155" w:leader="none"/>
        </w:tabs>
        <w:rPr>
          <w:rFonts w:asciiTheme="minorEastAsia" w:hAnsiTheme="minorEastAsia" w:eastAsiaTheme="minorEastAsia"/>
          <w:bCs/>
          <w:sz w:val="24"/>
          <w:szCs w:val="24"/>
        </w:rPr>
      </w:pPr>
      <w:r>
        <w:rPr>
          <w:rFonts w:hint="eastAsia"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rPr>
        <w:t xml:space="preserve">以下无正文</w:t>
      </w:r>
      <w:r>
        <w:rPr>
          <w:rFonts w:hint="eastAsia" w:asciiTheme="minorEastAsia" w:hAnsiTheme="minorEastAsia" w:eastAsiaTheme="minorEastAsia"/>
          <w:b/>
          <w:sz w:val="24"/>
          <w:szCs w:val="24"/>
          <w:lang w:eastAsia="zh-CN"/>
        </w:rPr>
        <w:t xml:space="preserve">】</w:t>
      </w:r>
      <w:r/>
    </w:p>
    <w:p>
      <w:pPr>
        <w:ind w:firstLine="480"/>
        <w:spacing w:line="440" w:lineRule="exact"/>
        <w:tabs>
          <w:tab w:val="left" w:pos="210" w:leader="none"/>
          <w:tab w:val="left" w:pos="840" w:leader="none"/>
          <w:tab w:val="left" w:pos="1155"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r>
      <w:r/>
    </w:p>
    <w:tbl>
      <w:tblPr>
        <w:tblStyle w:val="961"/>
        <w:tblW w:w="100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734"/>
        </w:trPr>
        <w:tc>
          <w:tcPr>
            <w:tcW w:w="5255" w:type="dxa"/>
            <w:textDirection w:val="lrTb"/>
            <w:noWrap w:val="false"/>
          </w:tcPr>
          <w:p>
            <w:pPr>
              <w:jc w:val="left"/>
              <w:rPr>
                <w:rFonts w:asciiTheme="minorEastAsia" w:hAnsiTheme="minorEastAsia" w:eastAsiaTheme="minorEastAsia"/>
                <w:sz w:val="24"/>
              </w:rPr>
            </w:pPr>
            <w:r>
              <w:rPr>
                <w:rFonts w:asciiTheme="minorEastAsia" w:hAnsiTheme="minorEastAsia" w:eastAsiaTheme="minorEastAsia"/>
                <w:bCs/>
                <w:sz w:val="24"/>
                <w:szCs w:val="24"/>
              </w:rPr>
              <w:br w:type="page" w:clear="all"/>
            </w:r>
            <w:r>
              <w:rPr>
                <w:rFonts w:hint="eastAsia" w:asciiTheme="minorEastAsia" w:hAnsiTheme="minorEastAsia" w:eastAsiaTheme="minorEastAsia"/>
                <w:b/>
                <w:sz w:val="24"/>
              </w:rPr>
              <w:t xml:space="preserve">甲方</w:t>
            </w:r>
            <w:r>
              <w:rPr>
                <w:rFonts w:hint="eastAsia" w:asciiTheme="minorEastAsia" w:hAnsiTheme="minorEastAsia" w:eastAsiaTheme="minorEastAsia"/>
                <w:sz w:val="24"/>
              </w:rPr>
              <w:t xml:space="preserve">（盖章）：如东县洋口镇人民政府</w:t>
            </w:r>
            <w:r/>
          </w:p>
          <w:p>
            <w:pPr>
              <w:jc w:val="left"/>
              <w:rPr>
                <w:rFonts w:asciiTheme="minorEastAsia" w:hAnsiTheme="minorEastAsia" w:eastAsiaTheme="minorEastAsia"/>
                <w:sz w:val="24"/>
              </w:rPr>
            </w:pPr>
            <w:r>
              <w:rPr>
                <w:rFonts w:asciiTheme="minorEastAsia" w:hAnsiTheme="minorEastAsia" w:eastAsiaTheme="minorEastAsia"/>
                <w:sz w:val="24"/>
              </w:rPr>
            </w:r>
            <w:r/>
          </w:p>
        </w:tc>
        <w:tc>
          <w:tcPr>
            <w:tcW w:w="4795" w:type="dxa"/>
            <w:textDirection w:val="lrTb"/>
            <w:noWrap w:val="false"/>
          </w:tcPr>
          <w:p>
            <w:pPr>
              <w:jc w:val="left"/>
              <w:rPr>
                <w:rFonts w:asciiTheme="minorEastAsia" w:hAnsiTheme="minorEastAsia" w:eastAsiaTheme="minorEastAsia"/>
                <w:sz w:val="24"/>
              </w:rPr>
            </w:pPr>
            <w:r>
              <w:rPr>
                <w:rFonts w:hint="eastAsia" w:asciiTheme="minorEastAsia" w:hAnsiTheme="minorEastAsia" w:eastAsiaTheme="minorEastAsia"/>
                <w:b/>
                <w:sz w:val="24"/>
              </w:rPr>
              <w:t xml:space="preserve">乙方</w:t>
            </w:r>
            <w:r>
              <w:rPr>
                <w:rFonts w:hint="eastAsia" w:asciiTheme="minorEastAsia" w:hAnsiTheme="minorEastAsia" w:eastAsiaTheme="minorEastAsia"/>
                <w:sz w:val="24"/>
              </w:rPr>
              <w:t xml:space="preserve">（盖章）：</w:t>
            </w:r>
            <w:r>
              <w:rPr>
                <w:rFonts w:asciiTheme="minorEastAsia" w:hAnsiTheme="minorEastAsia" w:eastAsiaTheme="minorEastAsia"/>
                <w:sz w:val="24"/>
              </w:rPr>
              <w:t xml:space="preserve"> </w:t>
            </w:r>
            <w:r/>
          </w:p>
        </w:tc>
      </w:tr>
      <w:tr>
        <w:trPr>
          <w:jc w:val="center"/>
          <w:trHeight w:val="925"/>
        </w:trPr>
        <w:tc>
          <w:tcPr>
            <w:tcW w:w="5255" w:type="dxa"/>
            <w:vAlign w:val="center"/>
            <w:textDirection w:val="lrTb"/>
            <w:noWrap w:val="false"/>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法定</w:t>
            </w:r>
            <w:r>
              <w:rPr>
                <w:rFonts w:hint="eastAsia" w:asciiTheme="minorEastAsia" w:hAnsiTheme="minorEastAsia" w:eastAsiaTheme="minorEastAsia"/>
                <w:sz w:val="24"/>
                <w:lang w:eastAsia="zh-CN"/>
              </w:rPr>
              <w:t xml:space="preserve">【</w:t>
            </w:r>
            <w:r>
              <w:rPr>
                <w:rFonts w:hint="eastAsia" w:asciiTheme="minorEastAsia" w:hAnsiTheme="minorEastAsia" w:eastAsiaTheme="minorEastAsia"/>
                <w:sz w:val="24"/>
                <w:lang w:val="en-US" w:eastAsia="zh-CN"/>
              </w:rPr>
              <w:t xml:space="preserve">授权</w:t>
            </w:r>
            <w:r>
              <w:rPr>
                <w:rFonts w:hint="eastAsia" w:asciiTheme="minorEastAsia" w:hAnsiTheme="minorEastAsia" w:eastAsiaTheme="minorEastAsia"/>
                <w:sz w:val="24"/>
                <w:lang w:eastAsia="zh-CN"/>
              </w:rPr>
              <w:t xml:space="preserve">】</w:t>
            </w:r>
            <w:r>
              <w:rPr>
                <w:rFonts w:hint="eastAsia" w:asciiTheme="minorEastAsia" w:hAnsiTheme="minorEastAsia" w:eastAsiaTheme="minorEastAsia"/>
                <w:sz w:val="24"/>
              </w:rPr>
              <w:t xml:space="preserve">代表人（签字或盖章）：</w:t>
            </w:r>
            <w:r/>
          </w:p>
          <w:p>
            <w:pPr>
              <w:jc w:val="left"/>
              <w:rPr>
                <w:rFonts w:asciiTheme="minorEastAsia" w:hAnsiTheme="minorEastAsia" w:eastAsiaTheme="minorEastAsia"/>
                <w:sz w:val="24"/>
              </w:rPr>
            </w:pPr>
            <w:r>
              <w:rPr>
                <w:rFonts w:asciiTheme="minorEastAsia" w:hAnsiTheme="minorEastAsia" w:eastAsiaTheme="minorEastAsia"/>
                <w:sz w:val="24"/>
              </w:rPr>
            </w:r>
            <w:r/>
          </w:p>
          <w:p>
            <w:pPr>
              <w:jc w:val="lef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4795" w:type="dxa"/>
            <w:vAlign w:val="center"/>
            <w:textDirection w:val="lrTb"/>
            <w:noWrap w:val="false"/>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法定</w:t>
            </w:r>
            <w:r>
              <w:rPr>
                <w:rFonts w:hint="eastAsia" w:asciiTheme="minorEastAsia" w:hAnsiTheme="minorEastAsia" w:eastAsiaTheme="minorEastAsia"/>
                <w:sz w:val="24"/>
                <w:lang w:eastAsia="zh-CN"/>
              </w:rPr>
              <w:t xml:space="preserve">【</w:t>
            </w:r>
            <w:r>
              <w:rPr>
                <w:rFonts w:hint="eastAsia" w:asciiTheme="minorEastAsia" w:hAnsiTheme="minorEastAsia" w:eastAsiaTheme="minorEastAsia"/>
                <w:sz w:val="24"/>
                <w:lang w:val="en-US" w:eastAsia="zh-CN"/>
              </w:rPr>
              <w:t xml:space="preserve">授权</w:t>
            </w:r>
            <w:r>
              <w:rPr>
                <w:rFonts w:hint="eastAsia" w:asciiTheme="minorEastAsia" w:hAnsiTheme="minorEastAsia" w:eastAsiaTheme="minorEastAsia"/>
                <w:sz w:val="24"/>
                <w:lang w:eastAsia="zh-CN"/>
              </w:rPr>
              <w:t xml:space="preserve">】</w:t>
            </w:r>
            <w:r>
              <w:rPr>
                <w:rFonts w:hint="eastAsia" w:asciiTheme="minorEastAsia" w:hAnsiTheme="minorEastAsia" w:eastAsiaTheme="minorEastAsia"/>
                <w:sz w:val="24"/>
              </w:rPr>
              <w:t xml:space="preserve">代表人（签字或盖章）：</w:t>
            </w:r>
            <w:r/>
          </w:p>
          <w:p>
            <w:pPr>
              <w:jc w:val="left"/>
              <w:rPr>
                <w:rFonts w:asciiTheme="minorEastAsia" w:hAnsiTheme="minorEastAsia" w:eastAsiaTheme="minorEastAsia"/>
                <w:sz w:val="24"/>
              </w:rPr>
            </w:pPr>
            <w:r>
              <w:rPr>
                <w:rFonts w:asciiTheme="minorEastAsia" w:hAnsiTheme="minorEastAsia" w:eastAsiaTheme="minorEastAsia"/>
                <w:sz w:val="24"/>
              </w:rPr>
            </w:r>
            <w:r/>
          </w:p>
          <w:p>
            <w:pPr>
              <w:jc w:val="lef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548"/>
        </w:trPr>
        <w:tc>
          <w:tcPr>
            <w:tcW w:w="5255" w:type="dxa"/>
            <w:vAlign w:val="center"/>
            <w:textDirection w:val="lrTb"/>
            <w:noWrap w:val="false"/>
          </w:tcPr>
          <w:p>
            <w:pPr>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rPr>
                <w:rFonts w:asciiTheme="minorEastAsia" w:hAnsiTheme="minorEastAsia" w:eastAsiaTheme="minorEastAsia"/>
                <w:sz w:val="24"/>
              </w:rPr>
            </w:pPr>
            <w:r>
              <w:rPr>
                <w:rFonts w:hint="eastAsia" w:asciiTheme="minorEastAsia" w:hAnsiTheme="minorEastAsia" w:eastAsiaTheme="minorEastAsia"/>
                <w:sz w:val="24"/>
              </w:rPr>
              <w:t xml:space="preserve">签订日期：2025年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月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tc>
        <w:tc>
          <w:tcPr>
            <w:tcW w:w="4795" w:type="dxa"/>
            <w:vAlign w:val="center"/>
            <w:textDirection w:val="lrTb"/>
            <w:noWrap w:val="false"/>
          </w:tcPr>
          <w:p>
            <w:pPr>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rPr>
                <w:rFonts w:asciiTheme="minorEastAsia" w:hAnsiTheme="minorEastAsia" w:eastAsiaTheme="minorEastAsia"/>
                <w:sz w:val="24"/>
              </w:rPr>
            </w:pPr>
            <w:r>
              <w:rPr>
                <w:rFonts w:hint="eastAsia" w:asciiTheme="minorEastAsia" w:hAnsiTheme="minorEastAsia" w:eastAsiaTheme="minorEastAsia"/>
                <w:sz w:val="24"/>
              </w:rPr>
              <w:t xml:space="preserve">签订日期：2025年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月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日</w:t>
            </w:r>
            <w:bookmarkEnd w:id="201"/>
            <w:r/>
          </w:p>
        </w:tc>
      </w:tr>
    </w:tbl>
    <w:p>
      <w:pPr>
        <w:jc w:val="left"/>
        <w:widowControl/>
        <w:rPr>
          <w:rFonts w:asciiTheme="minorEastAsia" w:hAnsiTheme="minorEastAsia" w:eastAsiaTheme="minorEastAsia"/>
          <w:b/>
          <w:bCs/>
          <w:sz w:val="24"/>
          <w:szCs w:val="32"/>
        </w:rPr>
      </w:pPr>
      <w:r>
        <w:rPr>
          <w:rFonts w:asciiTheme="minorEastAsia" w:hAnsiTheme="minorEastAsia" w:eastAsiaTheme="minorEastAsia"/>
          <w:b/>
          <w:bCs/>
          <w:sz w:val="24"/>
          <w:szCs w:val="32"/>
        </w:rPr>
      </w:r>
      <w:r/>
    </w:p>
    <w:p>
      <w:pPr>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r>
      <w:r/>
    </w:p>
    <w:p>
      <w:pPr>
        <w:jc w:val="left"/>
        <w:widowControl/>
        <w:rPr>
          <w:rFonts w:asciiTheme="minorEastAsia" w:hAnsiTheme="minorEastAsia" w:eastAsiaTheme="minorEastAsia"/>
          <w:b/>
          <w:bCs/>
          <w:sz w:val="24"/>
          <w:szCs w:val="32"/>
        </w:rPr>
      </w:pPr>
      <w:r>
        <w:rPr>
          <w:rFonts w:asciiTheme="minorEastAsia" w:hAnsiTheme="minorEastAsia" w:eastAsiaTheme="minorEastAsia"/>
          <w:b/>
          <w:bCs/>
          <w:sz w:val="24"/>
          <w:szCs w:val="32"/>
        </w:rPr>
      </w:r>
      <w:r/>
    </w:p>
    <w:p>
      <w:pPr>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pStyle w:val="709"/>
        <w:ind w:firstLine="2209"/>
        <w:jc w:val="left"/>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第六章  投标</w:t>
      </w:r>
      <w:bookmarkEnd w:id="185"/>
      <w:r/>
      <w:bookmarkEnd w:id="186"/>
      <w:r/>
      <w:bookmarkEnd w:id="187"/>
      <w:r>
        <w:rPr>
          <w:rFonts w:hint="eastAsia" w:ascii="宋体" w:hAnsi="宋体" w:eastAsia="宋体" w:cs="宋体"/>
          <w:b/>
          <w:color w:val="auto"/>
          <w:sz w:val="44"/>
          <w:highlight w:val="none"/>
        </w:rPr>
        <w:t xml:space="preserve">文件格式</w:t>
      </w:r>
      <w:bookmarkEnd w:id="200"/>
      <w:r/>
      <w:r/>
    </w:p>
    <w:p>
      <w:pPr>
        <w:jc w:val="center"/>
        <w:rPr>
          <w:rFonts w:hint="eastAsia" w:ascii="宋体" w:hAnsi="宋体" w:eastAsia="宋体" w:cs="宋体"/>
          <w:b/>
          <w:color w:val="auto"/>
          <w:sz w:val="72"/>
          <w:highlight w:val="none"/>
        </w:rPr>
      </w:pPr>
      <w:r/>
      <w:bookmarkStart w:id="207" w:name="_Hlt26671244"/>
      <w:r/>
      <w:bookmarkEnd w:id="207"/>
      <w:r/>
      <w:bookmarkStart w:id="208" w:name="_Hlt26955039"/>
      <w:r/>
      <w:bookmarkEnd w:id="208"/>
      <w:r/>
      <w:bookmarkStart w:id="209" w:name="_Toc26554094"/>
      <w:r/>
      <w:bookmarkStart w:id="210" w:name="_Toc49090576"/>
      <w:r/>
      <w:bookmarkStart w:id="211" w:name="_Toc120614282"/>
      <w:r/>
      <w:r/>
    </w:p>
    <w:p>
      <w:pPr>
        <w:jc w:val="center"/>
        <w:rPr>
          <w:rFonts w:hint="eastAsia" w:ascii="宋体" w:hAnsi="宋体" w:eastAsia="宋体" w:cs="宋体"/>
          <w:b/>
          <w:color w:val="auto"/>
          <w:sz w:val="72"/>
          <w:highlight w:val="none"/>
        </w:rPr>
        <w:outlineLvl w:val="0"/>
      </w:pPr>
      <w:r/>
      <w:bookmarkStart w:id="212" w:name="_Toc186493272"/>
      <w:r>
        <w:rPr>
          <w:rFonts w:hint="eastAsia" w:ascii="宋体" w:hAnsi="宋体" w:eastAsia="宋体" w:cs="宋体"/>
          <w:b/>
          <w:color w:val="auto"/>
          <w:sz w:val="72"/>
          <w:highlight w:val="none"/>
        </w:rPr>
        <w:t xml:space="preserve">投  标  文  件</w:t>
      </w:r>
      <w:bookmarkEnd w:id="212"/>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2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outlineLvl w:val="0"/>
      </w:pPr>
      <w:r/>
      <w:bookmarkStart w:id="213" w:name="_Toc186493273"/>
      <w:r>
        <w:rPr>
          <w:rFonts w:hint="eastAsia" w:ascii="宋体" w:hAnsi="宋体" w:eastAsia="宋体" w:cs="宋体"/>
          <w:b/>
          <w:color w:val="auto"/>
          <w:sz w:val="36"/>
          <w:highlight w:val="none"/>
        </w:rPr>
        <w:t xml:space="preserve">项 目 名 称：</w:t>
      </w:r>
      <w:bookmarkEnd w:id="213"/>
      <w:r/>
      <w:r/>
    </w:p>
    <w:p>
      <w:pPr>
        <w:ind w:firstLine="1084"/>
        <w:rPr>
          <w:rFonts w:hint="eastAsia" w:ascii="宋体" w:hAnsi="宋体" w:eastAsia="宋体" w:cs="宋体"/>
          <w:b/>
          <w:color w:val="auto"/>
          <w:sz w:val="36"/>
          <w:highlight w:val="none"/>
          <w:u w:val="single"/>
        </w:rPr>
        <w:outlineLvl w:val="0"/>
      </w:pPr>
      <w:r/>
      <w:bookmarkStart w:id="214" w:name="_Toc186493274"/>
      <w:r>
        <w:rPr>
          <w:rFonts w:hint="eastAsia" w:ascii="宋体" w:hAnsi="宋体" w:eastAsia="宋体" w:cs="宋体"/>
          <w:b/>
          <w:color w:val="auto"/>
          <w:sz w:val="36"/>
          <w:highlight w:val="none"/>
        </w:rPr>
        <w:t xml:space="preserve">项 目 编 号：</w:t>
      </w:r>
      <w:bookmarkEnd w:id="214"/>
      <w:r/>
      <w:r/>
    </w:p>
    <w:p>
      <w:pPr>
        <w:rPr>
          <w:rFonts w:hint="eastAsia" w:ascii="宋体" w:hAnsi="宋体" w:eastAsia="宋体" w:cs="宋体"/>
          <w:b/>
          <w:color w:val="auto"/>
          <w:sz w:val="36"/>
          <w:highlight w:val="none"/>
          <w:u w:val="single"/>
        </w:rPr>
        <w:outlineLvl w:val="0"/>
      </w:pPr>
      <w:r>
        <w:rPr>
          <w:rFonts w:hint="eastAsia" w:ascii="宋体" w:hAnsi="宋体" w:eastAsia="宋体" w:cs="宋体"/>
          <w:b/>
          <w:color w:val="auto"/>
          <w:sz w:val="36"/>
          <w:highlight w:val="none"/>
        </w:rPr>
        <w:t xml:space="preserve">      </w:t>
      </w:r>
      <w:bookmarkStart w:id="215" w:name="_Toc186493275"/>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（加盖CA电子公章）</w:t>
      </w:r>
      <w:bookmarkEnd w:id="215"/>
      <w:r/>
      <w:r/>
    </w:p>
    <w:p>
      <w:pPr>
        <w:rPr>
          <w:rFonts w:hint="eastAsia" w:ascii="宋体" w:hAnsi="宋体" w:eastAsia="宋体" w:cs="宋体"/>
          <w:b/>
          <w:color w:val="auto"/>
          <w:sz w:val="36"/>
          <w:highlight w:val="none"/>
          <w:u w:val="single"/>
        </w:rPr>
        <w:outlineLvl w:val="0"/>
      </w:pPr>
      <w:r>
        <w:rPr>
          <w:rFonts w:hint="eastAsia" w:ascii="宋体" w:hAnsi="宋体" w:eastAsia="宋体" w:cs="宋体"/>
          <w:b/>
          <w:color w:val="auto"/>
          <w:sz w:val="36"/>
          <w:highlight w:val="none"/>
        </w:rPr>
        <w:t xml:space="preserve">      </w:t>
      </w:r>
      <w:bookmarkStart w:id="216" w:name="_Toc186493276"/>
      <w:r>
        <w:rPr>
          <w:rFonts w:hint="eastAsia" w:ascii="宋体" w:hAnsi="宋体" w:eastAsia="宋体" w:cs="宋体"/>
          <w:b/>
          <w:color w:val="auto"/>
          <w:sz w:val="36"/>
          <w:highlight w:val="none"/>
        </w:rPr>
        <w:t xml:space="preserve">日      期 ：</w:t>
      </w:r>
      <w:bookmarkEnd w:id="216"/>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85"/>
        <w:ind w:firstLine="64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5"/>
        <w:ind w:firstLine="64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5"/>
        <w:ind w:firstLine="64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outlineLvl w:val="0"/>
      </w:pPr>
      <w:r/>
      <w:bookmarkStart w:id="217" w:name="_Toc186493277"/>
      <w:r>
        <w:rPr>
          <w:rFonts w:hint="eastAsia" w:ascii="宋体" w:hAnsi="宋体" w:eastAsia="宋体" w:cs="宋体"/>
          <w:b/>
          <w:bCs/>
          <w:color w:val="auto"/>
          <w:sz w:val="32"/>
          <w:szCs w:val="32"/>
          <w:highlight w:val="none"/>
        </w:rPr>
        <w:t xml:space="preserve">投标文件的组成</w:t>
      </w:r>
      <w:bookmarkEnd w:id="217"/>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480"/>
        <w:keepLines w:val="0"/>
        <w:keepNext w:val="0"/>
        <w:pageBreakBefore w:val="0"/>
        <w:spacing w:line="360" w:lineRule="auto"/>
        <w:widowControl w:val="off"/>
        <w:rPr>
          <w:rFonts w:hint="eastAsia" w:ascii="宋体" w:hAnsi="宋体" w:eastAsia="宋体" w:cs="宋体"/>
          <w:b/>
          <w:color w:val="auto"/>
          <w:sz w:val="24"/>
          <w:highlight w:val="none"/>
        </w:rPr>
        <w:outlineLvl w:val="0"/>
      </w:pPr>
      <w:r/>
      <w:bookmarkStart w:id="218" w:name="_Toc186493278"/>
      <w:r>
        <w:rPr>
          <w:rFonts w:hint="eastAsia" w:ascii="宋体" w:hAnsi="宋体" w:eastAsia="宋体" w:cs="宋体"/>
          <w:b/>
          <w:color w:val="auto"/>
          <w:sz w:val="24"/>
          <w:highlight w:val="none"/>
        </w:rPr>
        <w:t xml:space="preserve">一、基本目录</w:t>
      </w:r>
      <w:bookmarkEnd w:id="218"/>
      <w:r/>
      <w:r/>
    </w:p>
    <w:p>
      <w:pPr>
        <w:ind w:left="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1.开标一览表（格式见附件1）</w:t>
      </w:r>
      <w:r/>
    </w:p>
    <w:p>
      <w:pPr>
        <w:ind w:left="480"/>
        <w:keepLines w:val="0"/>
        <w:keepNext w:val="0"/>
        <w:pageBreakBefore w:val="0"/>
        <w:spacing w:line="360" w:lineRule="auto"/>
        <w:widowControl w:val="off"/>
        <w:rPr>
          <w:rFonts w:hint="eastAsia" w:ascii="宋体" w:hAnsi="宋体" w:eastAsia="宋体" w:cs="宋体"/>
          <w:b/>
          <w:color w:val="auto"/>
          <w:sz w:val="24"/>
          <w:highlight w:val="none"/>
        </w:rPr>
        <w:outlineLvl w:val="0"/>
      </w:pPr>
      <w:r/>
      <w:bookmarkStart w:id="219" w:name="_Toc186493279"/>
      <w:r>
        <w:rPr>
          <w:rFonts w:hint="eastAsia" w:ascii="宋体" w:hAnsi="宋体" w:eastAsia="宋体" w:cs="宋体"/>
          <w:b/>
          <w:color w:val="auto"/>
          <w:sz w:val="24"/>
          <w:highlight w:val="none"/>
        </w:rPr>
        <w:t xml:space="preserve">二、资格审查内容</w:t>
      </w:r>
      <w:bookmarkEnd w:id="219"/>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1.投标人符合《政府采购法》第二十二条规定条件的声明函（</w:t>
      </w:r>
      <w:r>
        <w:rPr>
          <w:rFonts w:hint="eastAsia" w:ascii="宋体" w:hAnsi="宋体" w:eastAsia="宋体" w:cs="宋体"/>
          <w:color w:val="auto"/>
          <w:sz w:val="24"/>
          <w:highlight w:val="none"/>
          <w:lang w:val="zh-CN"/>
        </w:rPr>
        <w:t xml:space="preserve">格式见附件</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.有效的营业执照扫描件</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法定代表人身份证明、</w:t>
      </w:r>
      <w:r>
        <w:rPr>
          <w:rFonts w:hint="eastAsia" w:ascii="宋体" w:hAnsi="宋体" w:eastAsia="宋体" w:cs="宋体"/>
          <w:color w:val="auto"/>
          <w:sz w:val="24"/>
          <w:highlight w:val="none"/>
          <w:lang w:val="zh-CN"/>
        </w:rPr>
        <w:t xml:space="preserve">法定代表人的身份证</w:t>
      </w:r>
      <w:r>
        <w:rPr>
          <w:rFonts w:hint="eastAsia" w:ascii="宋体" w:hAnsi="宋体" w:eastAsia="宋体" w:cs="宋体"/>
          <w:color w:val="auto"/>
          <w:sz w:val="24"/>
          <w:highlight w:val="none"/>
        </w:rPr>
        <w:t xml:space="preserve">扫描件（</w:t>
      </w:r>
      <w:r>
        <w:rPr>
          <w:rFonts w:hint="eastAsia" w:ascii="宋体" w:hAnsi="宋体" w:eastAsia="宋体" w:cs="宋体"/>
          <w:color w:val="auto"/>
          <w:sz w:val="24"/>
          <w:highlight w:val="none"/>
          <w:lang w:val="zh-CN"/>
        </w:rPr>
        <w:t xml:space="preserve">格式见附件</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.法人授权书、被授权</w:t>
      </w:r>
      <w:r>
        <w:rPr>
          <w:rFonts w:hint="eastAsia" w:ascii="宋体" w:hAnsi="宋体" w:eastAsia="宋体" w:cs="宋体"/>
          <w:color w:val="auto"/>
          <w:sz w:val="24"/>
          <w:highlight w:val="none"/>
          <w:lang w:val="zh-CN"/>
        </w:rPr>
        <w:t xml:space="preserve">人身份证</w:t>
      </w:r>
      <w:r>
        <w:rPr>
          <w:rFonts w:hint="eastAsia" w:ascii="宋体" w:hAnsi="宋体" w:eastAsia="宋体" w:cs="宋体"/>
          <w:color w:val="auto"/>
          <w:sz w:val="24"/>
          <w:highlight w:val="none"/>
        </w:rPr>
        <w:t xml:space="preserve">扫描件（如有授权）（</w:t>
      </w:r>
      <w:r>
        <w:rPr>
          <w:rFonts w:hint="eastAsia" w:ascii="宋体" w:hAnsi="宋体" w:eastAsia="宋体" w:cs="宋体"/>
          <w:color w:val="auto"/>
          <w:sz w:val="24"/>
          <w:highlight w:val="none"/>
          <w:lang w:val="zh-CN"/>
        </w:rPr>
        <w:t xml:space="preserve">格式见附件</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i w:val="0"/>
          <w:iCs w:val="0"/>
          <w:caps w:val="0"/>
          <w:spacing w:val="0"/>
          <w:sz w:val="24"/>
          <w:szCs w:val="24"/>
          <w:shd w:val="clear" w:color="auto" w:fill="ffffff"/>
        </w:rPr>
        <w:t xml:space="preserve">地质灾害危险性评估甲级资质</w:t>
      </w:r>
      <w:r>
        <w:rPr>
          <w:rFonts w:hint="eastAsia" w:ascii="宋体" w:hAnsi="宋体" w:eastAsia="宋体" w:cs="宋体"/>
          <w:i w:val="0"/>
          <w:iCs w:val="0"/>
          <w:caps w:val="0"/>
          <w:spacing w:val="0"/>
          <w:sz w:val="24"/>
          <w:szCs w:val="24"/>
          <w:shd w:val="clear" w:color="auto" w:fill="ffffff"/>
          <w:lang w:val="en-US" w:eastAsia="zh-CN"/>
        </w:rPr>
        <w:t xml:space="preserve">或地质灾害评估和治理工程勘查设计甲级资质</w:t>
      </w:r>
      <w:r>
        <w:rPr>
          <w:rFonts w:hint="eastAsia" w:ascii="宋体" w:hAnsi="宋体" w:eastAsia="宋体" w:cs="宋体"/>
          <w:color w:val="auto"/>
          <w:sz w:val="24"/>
          <w:highlight w:val="none"/>
        </w:rPr>
        <w:t xml:space="preserve">扫描件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.投标函（</w:t>
      </w:r>
      <w:r>
        <w:rPr>
          <w:rFonts w:hint="eastAsia" w:ascii="宋体" w:hAnsi="宋体" w:eastAsia="宋体" w:cs="宋体"/>
          <w:color w:val="auto"/>
          <w:sz w:val="24"/>
          <w:highlight w:val="none"/>
          <w:lang w:val="zh-CN"/>
        </w:rPr>
        <w:t xml:space="preserve">格式见附件</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.中小企业声明函</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如有，</w:t>
      </w:r>
      <w:r>
        <w:rPr>
          <w:rFonts w:hint="eastAsia" w:ascii="宋体" w:hAnsi="宋体" w:eastAsia="宋体" w:cs="宋体"/>
          <w:color w:val="auto"/>
          <w:sz w:val="24"/>
          <w:highlight w:val="none"/>
          <w:lang w:val="zh-CN"/>
        </w:rPr>
        <w:t xml:space="preserve">格式见附件</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如有，</w:t>
      </w:r>
      <w:r>
        <w:rPr>
          <w:rFonts w:hint="eastAsia" w:ascii="宋体" w:hAnsi="宋体" w:eastAsia="宋体" w:cs="宋体"/>
          <w:color w:val="auto"/>
          <w:sz w:val="24"/>
          <w:highlight w:val="none"/>
          <w:lang w:val="zh-CN"/>
        </w:rPr>
        <w:t xml:space="preserve">格式见附件</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.监狱和戒</w:t>
      </w:r>
      <w:bookmarkStart w:id="239" w:name="_GoBack"/>
      <w:r/>
      <w:bookmarkEnd w:id="239"/>
      <w:r>
        <w:rPr>
          <w:rFonts w:hint="eastAsia" w:ascii="宋体" w:hAnsi="宋体" w:eastAsia="宋体" w:cs="宋体"/>
          <w:color w:val="auto"/>
          <w:sz w:val="24"/>
          <w:szCs w:val="24"/>
          <w:highlight w:val="none"/>
        </w:rPr>
        <w:t xml:space="preserve">毒企业证明材料</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如有，</w:t>
      </w:r>
      <w:r>
        <w:rPr>
          <w:rFonts w:hint="eastAsia" w:ascii="宋体" w:hAnsi="宋体" w:eastAsia="宋体" w:cs="宋体"/>
          <w:color w:val="auto"/>
          <w:sz w:val="24"/>
          <w:highlight w:val="none"/>
          <w:lang w:val="zh-CN"/>
        </w:rPr>
        <w:t xml:space="preserve">格式见附件</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zh-CN"/>
        </w:rPr>
        <w:t xml:space="preserve">.其它需要提交的资格审查证明材料。</w:t>
      </w:r>
      <w:r/>
    </w:p>
    <w:p>
      <w:pPr>
        <w:ind w:left="480"/>
        <w:keepLines w:val="0"/>
        <w:keepNext w:val="0"/>
        <w:pageBreakBefore w:val="0"/>
        <w:spacing w:line="360" w:lineRule="auto"/>
        <w:widowControl w:val="off"/>
        <w:rPr>
          <w:rFonts w:hint="eastAsia" w:ascii="宋体" w:hAnsi="宋体" w:eastAsia="宋体" w:cs="宋体"/>
          <w:b/>
          <w:color w:val="auto"/>
          <w:sz w:val="24"/>
          <w:highlight w:val="none"/>
        </w:rPr>
        <w:outlineLvl w:val="0"/>
      </w:pPr>
      <w:r/>
      <w:bookmarkStart w:id="220" w:name="_Toc186493280"/>
      <w:r>
        <w:rPr>
          <w:rFonts w:hint="eastAsia" w:ascii="宋体" w:hAnsi="宋体" w:eastAsia="宋体" w:cs="宋体"/>
          <w:b/>
          <w:color w:val="auto"/>
          <w:sz w:val="24"/>
          <w:highlight w:val="none"/>
        </w:rPr>
        <w:t xml:space="preserve">三、符合性审查内容</w:t>
      </w:r>
      <w:bookmarkEnd w:id="220"/>
      <w:r/>
      <w:r/>
    </w:p>
    <w:p>
      <w:pPr>
        <w:ind w:left="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1.技术要求响应及偏离表（</w:t>
      </w:r>
      <w:r>
        <w:rPr>
          <w:rFonts w:hint="eastAsia" w:ascii="宋体" w:hAnsi="宋体" w:eastAsia="宋体" w:cs="宋体"/>
          <w:color w:val="auto"/>
          <w:sz w:val="24"/>
          <w:highlight w:val="none"/>
          <w:lang w:val="zh-CN"/>
        </w:rPr>
        <w:t xml:space="preserve">格式见附件</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2.商务要求响应及偏离表（</w:t>
      </w:r>
      <w:r>
        <w:rPr>
          <w:rFonts w:hint="eastAsia" w:ascii="宋体" w:hAnsi="宋体" w:eastAsia="宋体" w:cs="宋体"/>
          <w:color w:val="auto"/>
          <w:sz w:val="24"/>
          <w:highlight w:val="none"/>
          <w:lang w:val="zh-CN"/>
        </w:rPr>
        <w:t xml:space="preserve">格式见附件</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 xml:space="preserve">3.实质性要求响应及偏离表（</w:t>
      </w:r>
      <w:r>
        <w:rPr>
          <w:rFonts w:hint="eastAsia" w:ascii="宋体" w:hAnsi="宋体" w:eastAsia="宋体" w:cs="宋体"/>
          <w:color w:val="auto"/>
          <w:sz w:val="24"/>
          <w:highlight w:val="none"/>
          <w:lang w:val="zh-CN"/>
        </w:rPr>
        <w:t xml:space="preserve">格式见附件</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），投标人必须对技术要求和商务要求中</w:t>
      </w:r>
      <w:r>
        <w:rPr>
          <w:rFonts w:hint="eastAsia" w:ascii="宋体" w:hAnsi="宋体" w:eastAsia="宋体" w:cs="宋体"/>
          <w:b/>
          <w:bCs/>
          <w:color w:val="auto"/>
          <w:sz w:val="24"/>
          <w:highlight w:val="none"/>
        </w:rPr>
        <w:t xml:space="preserve">加斜体下划线的实质性要求做出响应，并按照招标文件要求提供证明材料</w:t>
      </w:r>
      <w:r>
        <w:rPr>
          <w:rFonts w:hint="eastAsia" w:ascii="宋体" w:hAnsi="宋体" w:eastAsia="宋体" w:cs="宋体"/>
          <w:color w:val="auto"/>
          <w:sz w:val="24"/>
          <w:highlight w:val="none"/>
        </w:rPr>
        <w:t xml:space="preserve">，否则做无效响应处理</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221" w:name="_Toc186493281"/>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val="zh-CN"/>
        </w:rPr>
        <w:t xml:space="preserve">商务技术</w:t>
      </w:r>
      <w:r>
        <w:rPr>
          <w:rFonts w:hint="eastAsia" w:ascii="宋体" w:hAnsi="宋体" w:eastAsia="宋体" w:cs="宋体"/>
          <w:b/>
          <w:color w:val="auto"/>
          <w:sz w:val="24"/>
          <w:szCs w:val="24"/>
          <w:highlight w:val="none"/>
        </w:rPr>
        <w:t xml:space="preserve">内容</w:t>
      </w:r>
      <w:bookmarkEnd w:id="221"/>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商务技术评分标准中须提供的相关得分佐证材料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投标人认为需要提交的其他材料。</w:t>
      </w:r>
      <w:r/>
    </w:p>
    <w:p>
      <w:pPr>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lang w:val="zh-CN"/>
        </w:rPr>
        <w:br w:type="page" w:clear="all"/>
      </w:r>
      <w:bookmarkStart w:id="222" w:name="_Toc186493283"/>
      <w:r>
        <w:rPr>
          <w:rFonts w:hint="eastAsia" w:ascii="宋体" w:hAnsi="宋体" w:eastAsia="宋体" w:cs="宋体"/>
          <w:b/>
          <w:color w:val="auto"/>
          <w:sz w:val="24"/>
          <w:szCs w:val="24"/>
          <w:highlight w:val="none"/>
        </w:rPr>
        <w:t xml:space="preserve">附件1</w:t>
      </w:r>
      <w:bookmarkEnd w:id="222"/>
      <w:r>
        <w:rPr>
          <w:rFonts w:hint="eastAsia" w:ascii="宋体" w:hAnsi="宋体" w:eastAsia="宋体" w:cs="宋体"/>
          <w:b/>
          <w:color w:val="auto"/>
          <w:sz w:val="24"/>
          <w:szCs w:val="24"/>
          <w:highlight w:val="none"/>
        </w:rPr>
        <w:t xml:space="preserve"> </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开标一览表</w:t>
      </w:r>
      <w:r/>
    </w:p>
    <w:p>
      <w:pPr>
        <w:pStyle w:val="72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w:t>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19"/>
        <w:tblW w:w="0" w:type="auto"/>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4"/>
      </w:tblGrid>
      <w:tr>
        <w:trPr>
          <w:cantSplit/>
          <w:trHeight w:val="725"/>
        </w:trPr>
        <w:tc>
          <w:tcPr>
            <w:tcW w:w="906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r>
      <w:tr>
        <w:trPr>
          <w:cantSplit/>
          <w:trHeight w:val="612"/>
        </w:trPr>
        <w:tc>
          <w:tcPr>
            <w:tcW w:w="9064" w:type="dxa"/>
            <w:vAlign w:val="center"/>
            <w:textDirection w:val="lrTb"/>
            <w:noWrap w:val="false"/>
          </w:tcPr>
          <w:p>
            <w:pPr>
              <w:pStyle w:val="933"/>
              <w:ind w:left="0" w:firstLine="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小写： 元</w:t>
            </w:r>
            <w:r/>
          </w:p>
        </w:tc>
      </w:tr>
      <w:tr>
        <w:trPr>
          <w:cantSplit/>
          <w:trHeight w:val="612"/>
        </w:trPr>
        <w:tc>
          <w:tcPr>
            <w:tcW w:w="9064" w:type="dxa"/>
            <w:vAlign w:val="center"/>
            <w:textDirection w:val="lrTb"/>
            <w:noWrap w:val="false"/>
          </w:tcPr>
          <w:p>
            <w:pPr>
              <w:pStyle w:val="933"/>
              <w:ind w:left="0" w:firstLine="0"/>
              <w:spacing w:before="0" w:after="0" w:line="50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r>
    </w:tbl>
    <w:p>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注：1、本附件格式仅作参考，投标人以苏采云平台实际情况进行填报。</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40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加盖CA电子签章</w:t>
      </w:r>
      <w:r>
        <w:rPr>
          <w:rFonts w:hint="eastAsia" w:ascii="宋体" w:hAnsi="宋体" w:eastAsia="宋体" w:cs="宋体"/>
          <w:color w:val="auto"/>
          <w:sz w:val="24"/>
          <w:highlight w:val="none"/>
        </w:rPr>
        <w:t xml:space="preserve">）：</w:t>
      </w:r>
      <w:r/>
    </w:p>
    <w:p>
      <w:pPr>
        <w:pStyle w:val="72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9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法定代表人或委托代理人（签章）：</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jc w:val="left"/>
        <w:tabs>
          <w:tab w:val="left" w:pos="606" w:leader="none"/>
        </w:tabs>
        <w:rPr>
          <w:rFonts w:hint="eastAsia" w:ascii="宋体" w:hAnsi="宋体" w:eastAsia="宋体" w:cs="宋体"/>
          <w:color w:val="auto"/>
          <w:lang w:val="en-US" w:eastAsia="zh-CN"/>
        </w:rPr>
        <w:sectPr>
          <w:footerReference w:type="default" r:id="rId14"/>
          <w:footnotePr/>
          <w:endnotePr/>
          <w:type w:val="nextPage"/>
          <w:pgSz w:w="11906" w:h="16838" w:orient="portrait"/>
          <w:pgMar w:top="1191" w:right="1588" w:bottom="39" w:left="1365" w:header="851" w:footer="907" w:gutter="0"/>
          <w:cols w:num="1" w:sep="0" w:space="0" w:equalWidth="1"/>
          <w:docGrid w:linePitch="360"/>
        </w:sectPr>
      </w:pPr>
      <w:r>
        <w:rPr>
          <w:rFonts w:hint="eastAsia" w:ascii="宋体" w:hAnsi="宋体" w:eastAsia="宋体" w:cs="宋体"/>
          <w:color w:val="auto"/>
          <w:lang w:val="en-US" w:eastAsia="zh-CN"/>
        </w:rPr>
        <w:tab/>
      </w:r>
      <w:r/>
    </w:p>
    <w:p>
      <w:pPr>
        <w:jc w:val="left"/>
        <w:rPr>
          <w:rFonts w:hint="default"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t xml:space="preserve">附件2</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投标人符合《政府采购法》第二十二条规定条件的声明函</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我单位参加（项目名称），（项目编号）投标活动。针对《中华人民共和国政府采购法》第二十二条规定做出如下声明：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1.我单位具有独立承担民事责任的能力；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6.我单位满足法律、行政法规规定的其他条件。</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承诺人名称（加盖CA电子公章）：</w:t>
      </w:r>
      <w:r/>
    </w:p>
    <w:p>
      <w:pPr>
        <w:jc w:val="right"/>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right"/>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spacing w:line="560" w:lineRule="exact"/>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br w:type="page" w:clear="all"/>
      </w:r>
      <w:bookmarkStart w:id="223" w:name="_Toc186493285"/>
      <w:r>
        <w:rPr>
          <w:rFonts w:hint="eastAsia" w:ascii="宋体" w:hAnsi="宋体" w:eastAsia="宋体" w:cs="宋体"/>
          <w:b/>
          <w:color w:val="auto"/>
          <w:sz w:val="24"/>
          <w:szCs w:val="24"/>
          <w:highlight w:val="none"/>
        </w:rPr>
        <w:t xml:space="preserve">附件</w:t>
      </w:r>
      <w:bookmarkEnd w:id="223"/>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法定代表人身份证明</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先生/女士： 现任我单位职务，为法定代表人，特此证明。</w:t>
      </w:r>
      <w:r/>
    </w:p>
    <w:p>
      <w:pPr>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身份证号码：</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szCs w:val="24"/>
          <w:highlight w:val="none"/>
        </w:rPr>
        <w:t xml:space="preserve">注：提供法定代表人的身份证扫描件</w:t>
      </w:r>
      <w:r>
        <w:rPr>
          <w:rFonts w:hint="eastAsia" w:ascii="宋体" w:hAnsi="宋体" w:eastAsia="宋体" w:cs="宋体"/>
          <w:bCs/>
          <w:color w:val="auto"/>
          <w:sz w:val="24"/>
          <w:highlight w:val="none"/>
        </w:rPr>
        <w:t xml:space="preserve">（加盖CA电子公章）</w:t>
      </w: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            </w:t>
      </w:r>
      <w:r/>
    </w:p>
    <w:p>
      <w:pPr>
        <w:ind w:firstLine="480"/>
        <w:jc w:val="center"/>
        <w:spacing w:line="460" w:lineRule="exact"/>
        <w:rPr>
          <w:rFonts w:hint="eastAsia" w:ascii="宋体" w:hAnsi="宋体" w:eastAsia="宋体" w:cs="宋体"/>
          <w:bCs/>
          <w:color w:val="auto"/>
          <w:sz w:val="30"/>
          <w:szCs w:val="30"/>
          <w:highlight w:val="none"/>
        </w:rPr>
      </w:pPr>
      <w:r>
        <w:rPr>
          <w:rFonts w:hint="eastAsia" w:ascii="宋体" w:hAnsi="宋体" w:eastAsia="宋体" w:cs="宋体"/>
          <w:b/>
          <w:color w:val="auto"/>
          <w:sz w:val="30"/>
          <w:szCs w:val="30"/>
          <w:highlight w:val="none"/>
        </w:rPr>
        <w:t xml:space="preserve">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本授权书声明：（投标人名称）授权（被授权人的姓名）为我方就项目采购活动的合法代理人，以本单位名义全权处理一切与该项目采购有关的事务。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224" w:name="_Hlt26955070"/>
      <w:r/>
      <w:bookmarkEnd w:id="224"/>
      <w:r/>
      <w:bookmarkStart w:id="225" w:name="_格式3__银行出具的资信证明"/>
      <w:r/>
      <w:bookmarkEnd w:id="225"/>
      <w:r/>
      <w:bookmarkStart w:id="226" w:name="_Hlt26671380"/>
      <w:r/>
      <w:bookmarkEnd w:id="226"/>
      <w:r/>
      <w:r/>
    </w:p>
    <w:p>
      <w:pPr>
        <w:keepLines/>
        <w:keepNext/>
        <w:spacing w:before="260" w:after="260" w:line="416" w:lineRule="auto"/>
        <w:rPr>
          <w:rFonts w:hint="eastAsia" w:ascii="宋体" w:hAnsi="宋体" w:eastAsia="宋体" w:cs="宋体"/>
          <w:b/>
          <w:color w:val="auto"/>
          <w:sz w:val="24"/>
          <w:szCs w:val="44"/>
          <w:highlight w:val="none"/>
        </w:rPr>
      </w:pPr>
      <w:r>
        <w:rPr>
          <w:rFonts w:hint="eastAsia" w:ascii="宋体" w:hAnsi="宋体" w:eastAsia="宋体" w:cs="宋体"/>
          <w:b/>
          <w:color w:val="auto"/>
          <w:sz w:val="24"/>
          <w:szCs w:val="44"/>
          <w:highlight w:val="none"/>
        </w:rPr>
      </w:r>
      <w:r/>
    </w:p>
    <w:p>
      <w:pPr>
        <w:ind w:firstLine="480"/>
        <w:jc w:val="left"/>
        <w:spacing w:line="460" w:lineRule="exact"/>
        <w:rPr>
          <w:rFonts w:hint="eastAsia" w:ascii="宋体" w:hAnsi="宋体" w:eastAsia="宋体" w:cs="宋体"/>
          <w:b/>
          <w:color w:val="auto"/>
          <w:sz w:val="24"/>
          <w:highlight w:val="none"/>
        </w:rPr>
      </w:pPr>
      <w:r>
        <w:rPr>
          <w:rFonts w:hint="eastAsia" w:ascii="宋体" w:hAnsi="宋体" w:eastAsia="宋体" w:cs="宋体"/>
          <w:bCs/>
          <w:color w:val="auto"/>
          <w:sz w:val="24"/>
          <w:szCs w:val="44"/>
          <w:highlight w:val="none"/>
        </w:rPr>
        <w:t xml:space="preserve">注：提供被授权人身份证扫描件（加盖CA电子公章）</w:t>
      </w:r>
      <w:r>
        <w:rPr>
          <w:rFonts w:hint="eastAsia" w:ascii="宋体" w:hAnsi="宋体" w:eastAsia="宋体" w:cs="宋体"/>
          <w:bCs/>
          <w:color w:val="auto"/>
          <w:sz w:val="24"/>
          <w:szCs w:val="44"/>
          <w:highlight w:val="none"/>
        </w:rPr>
        <w:br w:type="page" w:clear="all"/>
      </w: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                            </w:t>
      </w:r>
      <w:r/>
    </w:p>
    <w:p>
      <w:pPr>
        <w:ind w:firstLine="480"/>
        <w:jc w:val="center"/>
        <w:spacing w:line="46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投标函</w:t>
      </w:r>
      <w:r/>
    </w:p>
    <w:p>
      <w:pPr>
        <w:jc w:val="left"/>
        <w:spacing w:line="4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lang w:eastAsia="zh-CN"/>
        </w:rPr>
        <w:t xml:space="preserve">如东县洋口镇人民政府</w:t>
      </w:r>
      <w:r/>
    </w:p>
    <w:p>
      <w:pPr>
        <w:ind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根据贵方的（项目名称）的招标文件，正式授权下述被授权人_____(姓名)代表我方（投标人的名称），全权处理本次项目投标的有关事宜。</w:t>
      </w:r>
      <w:r/>
    </w:p>
    <w:p>
      <w:pPr>
        <w:ind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据此函，被授权人_____(姓名)兹宣布同意如下：</w:t>
      </w:r>
      <w:r/>
    </w:p>
    <w:p>
      <w:pPr>
        <w:ind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          址：</w:t>
      </w:r>
      <w:r/>
    </w:p>
    <w:p>
      <w:pPr>
        <w:ind w:left="420"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          编：</w:t>
      </w:r>
      <w:r/>
    </w:p>
    <w:p>
      <w:pPr>
        <w:ind w:left="420"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p>
    <w:p>
      <w:pPr>
        <w:ind w:left="420"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p>
    <w:p>
      <w:pPr>
        <w:ind w:left="420"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left="420"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p>
    <w:p>
      <w:pPr>
        <w:ind w:left="420"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期：_____年____月____日</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rPr>
          <w:rFonts w:hint="eastAsia" w:ascii="宋体" w:hAnsi="宋体" w:eastAsia="宋体" w:cs="宋体"/>
          <w:b/>
          <w:color w:val="auto"/>
          <w:sz w:val="24"/>
          <w:highlight w:val="none"/>
          <w:lang w:eastAsia="zh-CN"/>
        </w:rPr>
        <w:outlineLvl w:val="0"/>
      </w:pPr>
      <w:r>
        <w:rPr>
          <w:rFonts w:hint="eastAsia" w:ascii="宋体" w:hAnsi="宋体" w:eastAsia="宋体" w:cs="宋体"/>
          <w:bCs/>
          <w:color w:val="auto"/>
          <w:sz w:val="24"/>
          <w:highlight w:val="none"/>
        </w:rPr>
        <w:br w:type="page" w:clear="all"/>
      </w:r>
      <w:bookmarkStart w:id="227" w:name="_Toc186493286"/>
      <w:r>
        <w:rPr>
          <w:rFonts w:hint="eastAsia" w:ascii="宋体" w:hAnsi="宋体" w:eastAsia="宋体" w:cs="宋体"/>
          <w:b/>
          <w:color w:val="auto"/>
          <w:sz w:val="24"/>
          <w:highlight w:val="none"/>
        </w:rPr>
        <w:t xml:space="preserve">附件</w:t>
      </w:r>
      <w:bookmarkEnd w:id="227"/>
      <w:r>
        <w:rPr>
          <w:rFonts w:hint="eastAsia" w:ascii="宋体" w:hAnsi="宋体" w:eastAsia="宋体" w:cs="宋体"/>
          <w:b/>
          <w:color w:val="auto"/>
          <w:sz w:val="24"/>
          <w:highlight w:val="none"/>
          <w:lang w:val="en-US" w:eastAsia="zh-CN"/>
        </w:rPr>
        <w:t xml:space="preserve">6</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中小企业声明函（服务）</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480"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55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1、如项目类型为“服务”，请按照此格式填写。</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4、投标人自行勾选承接企业的企业规模类型。</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588" w:lineRule="exact"/>
        <w:rPr>
          <w:rFonts w:hint="eastAsia" w:ascii="宋体" w:hAnsi="宋体" w:eastAsia="宋体" w:cs="宋体"/>
          <w:b/>
          <w:color w:val="auto"/>
          <w:sz w:val="24"/>
          <w:szCs w:val="24"/>
          <w:highlight w:val="none"/>
          <w:lang w:eastAsia="zh-CN"/>
        </w:rPr>
        <w:outlineLvl w:val="0"/>
      </w:pPr>
      <w:r>
        <w:rPr>
          <w:rFonts w:hint="eastAsia" w:ascii="宋体" w:hAnsi="宋体" w:eastAsia="宋体" w:cs="宋体"/>
          <w:b/>
          <w:color w:val="auto"/>
          <w:sz w:val="24"/>
          <w:szCs w:val="24"/>
          <w:highlight w:val="none"/>
        </w:rPr>
        <w:br w:type="page" w:clear="all"/>
      </w:r>
      <w:bookmarkStart w:id="228" w:name="_Toc186493287"/>
      <w:r>
        <w:rPr>
          <w:rFonts w:hint="eastAsia" w:ascii="宋体" w:hAnsi="宋体" w:eastAsia="宋体" w:cs="宋体"/>
          <w:b/>
          <w:color w:val="auto"/>
          <w:sz w:val="24"/>
          <w:szCs w:val="24"/>
          <w:highlight w:val="none"/>
        </w:rPr>
        <w:t xml:space="preserve">附件</w:t>
      </w:r>
      <w:bookmarkEnd w:id="228"/>
      <w:r>
        <w:rPr>
          <w:rFonts w:hint="eastAsia" w:ascii="宋体" w:hAnsi="宋体" w:eastAsia="宋体" w:cs="宋体"/>
          <w:b/>
          <w:color w:val="auto"/>
          <w:sz w:val="24"/>
          <w:szCs w:val="24"/>
          <w:highlight w:val="none"/>
          <w:lang w:val="en-US" w:eastAsia="zh-CN"/>
        </w:rPr>
        <w:t xml:space="preserve">7</w:t>
      </w:r>
      <w:r/>
    </w:p>
    <w:p>
      <w:pPr>
        <w:jc w:val="center"/>
        <w:spacing w:line="588"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残疾人福利性单位声明函（服务）</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141号）的规定，本单位为符合条件的残疾人福利性单位，且本单位参加单位的采购文件项目编号为的项目采购活动由本单位提供服务。</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1、如项目类型为“服务”，请按照此格式填写。</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2、专门面向中小微型企业采购的项目，投标人为残疾人福利性单位并提供服务的必须提供此声明函，否则将不能通过资格审查。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3、非专门面向中小微型企业采购的项目，投标人如不提供此声明函，价格将不做相应扣除。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4、中标人为残疾人福利性单位的，此声明函将随中标结果同时公告，接受社会监督。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59" w:firstLine="624"/>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供应商全称（加盖CA电子公章）：</w:t>
      </w:r>
      <w:r/>
    </w:p>
    <w:p>
      <w:pPr>
        <w:ind w:right="1559" w:firstLine="480"/>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559" w:firstLine="480"/>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4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0"/>
      </w:pPr>
      <w:r/>
      <w:bookmarkStart w:id="229" w:name="_Toc186493288"/>
      <w:r/>
      <w:r/>
    </w:p>
    <w:p>
      <w:pPr>
        <w:spacing w:line="420" w:lineRule="exact"/>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spacing w:line="420" w:lineRule="exact"/>
        <w:rPr>
          <w:rFonts w:hint="eastAsia" w:ascii="宋体" w:hAnsi="宋体" w:eastAsia="宋体" w:cs="宋体"/>
          <w:b/>
          <w:color w:val="auto"/>
          <w:sz w:val="24"/>
          <w:szCs w:val="24"/>
          <w:highlight w:val="none"/>
          <w:lang w:eastAsia="zh-CN"/>
        </w:rPr>
        <w:outlineLvl w:val="0"/>
      </w:pPr>
      <w:r>
        <w:rPr>
          <w:rFonts w:hint="eastAsia" w:ascii="宋体" w:hAnsi="宋体" w:eastAsia="宋体" w:cs="宋体"/>
          <w:b/>
          <w:color w:val="auto"/>
          <w:sz w:val="24"/>
          <w:szCs w:val="24"/>
          <w:highlight w:val="none"/>
        </w:rPr>
        <w:t xml:space="preserve">附件</w:t>
      </w:r>
      <w:bookmarkEnd w:id="229"/>
      <w:r>
        <w:rPr>
          <w:rFonts w:hint="eastAsia" w:ascii="宋体" w:hAnsi="宋体" w:eastAsia="宋体" w:cs="宋体"/>
          <w:b/>
          <w:color w:val="auto"/>
          <w:sz w:val="24"/>
          <w:szCs w:val="24"/>
          <w:highlight w:val="none"/>
          <w:lang w:val="en-US" w:eastAsia="zh-CN"/>
        </w:rPr>
        <w:t xml:space="preserve">8</w:t>
      </w:r>
      <w:r/>
    </w:p>
    <w:p>
      <w:pPr>
        <w:jc w:val="center"/>
        <w:spacing w:line="42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监狱和戒毒企业证明材料</w:t>
      </w:r>
      <w:r/>
    </w:p>
    <w:p>
      <w:pPr>
        <w:ind w:firstLine="495"/>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（格式自拟）</w:t>
      </w:r>
      <w:r/>
    </w:p>
    <w:p>
      <w:pPr>
        <w:ind w:firstLine="495"/>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1、专门面向中小微型企业采购的项目，投标人如不提供此证明材料，则不能通过资格审查；非专门面向中小微型企业采购的项目，投标人如不提供此证明材料，价格将不做相应扣除。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59" w:firstLine="624"/>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供应商全称（加盖CA电子公章）：</w:t>
      </w:r>
      <w:r/>
    </w:p>
    <w:p>
      <w:pPr>
        <w:ind w:right="1559" w:firstLine="480"/>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559" w:firstLine="480"/>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rPr>
        <w:br w:type="page" w:clear="all"/>
      </w:r>
      <w:bookmarkEnd w:id="209"/>
      <w:r/>
      <w:bookmarkEnd w:id="210"/>
      <w:r/>
      <w:bookmarkEnd w:id="211"/>
      <w:r/>
      <w:bookmarkStart w:id="230" w:name="_Toc186493289"/>
      <w:r/>
      <w:bookmarkStart w:id="231" w:name="_Toc120614284"/>
      <w:r>
        <w:rPr>
          <w:rFonts w:hint="eastAsia" w:ascii="宋体" w:hAnsi="宋体" w:eastAsia="宋体" w:cs="宋体"/>
          <w:b/>
          <w:color w:val="auto"/>
          <w:sz w:val="24"/>
          <w:szCs w:val="24"/>
          <w:highlight w:val="none"/>
        </w:rPr>
        <w:t xml:space="preserve">附件</w:t>
      </w:r>
      <w:bookmarkEnd w:id="230"/>
      <w:r>
        <w:rPr>
          <w:rFonts w:hint="eastAsia" w:ascii="宋体" w:hAnsi="宋体" w:eastAsia="宋体" w:cs="宋体"/>
          <w:b/>
          <w:color w:val="auto"/>
          <w:sz w:val="24"/>
          <w:szCs w:val="24"/>
          <w:highlight w:val="none"/>
          <w:lang w:val="en-US" w:eastAsia="zh-CN"/>
        </w:rPr>
        <w:t xml:space="preserve">9</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技术要求响应及偏离表</w:t>
      </w:r>
      <w:r/>
    </w:p>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（由投标人据实填写，表格不够自行添加）</w:t>
      </w:r>
      <w:r/>
    </w:p>
    <w:tbl>
      <w:tblPr>
        <w:tblStyle w:val="71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5"/>
        <w:gridCol w:w="2415"/>
        <w:gridCol w:w="2109"/>
        <w:gridCol w:w="2721"/>
        <w:gridCol w:w="149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numPr>
          <w:ilvl w:val="0"/>
          <w:numId w:val="4"/>
        </w:numPr>
        <w:contextualSpacing/>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投标人提交的投标文件中与招标文件第四章“采购需求”中的技术要求如有偏离的，应逐条填列在偏离表中。</w:t>
      </w:r>
      <w:r/>
    </w:p>
    <w:p>
      <w:pPr>
        <w:contextualSpacing/>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2.“偏离说明”一栏选择“正偏离”、“无偏离”、“负偏离”进行填写。未填写的内容视为完全响应本招标文件要求。正偏离、无偏离的确认和负偏离是否响应招标文件，由评委会认定。</w:t>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59" w:firstLine="624"/>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供应商全称（加盖CA电子公章）：</w:t>
      </w:r>
      <w:r/>
    </w:p>
    <w:p>
      <w:pPr>
        <w:ind w:right="1559" w:firstLine="480"/>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559" w:firstLine="480"/>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default"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rPr>
        <w:br w:type="page" w:clear="all"/>
      </w:r>
      <w:bookmarkStart w:id="232" w:name="_Toc186493290"/>
      <w:r>
        <w:rPr>
          <w:rFonts w:hint="eastAsia" w:ascii="宋体" w:hAnsi="宋体" w:eastAsia="宋体" w:cs="宋体"/>
          <w:b/>
          <w:color w:val="auto"/>
          <w:sz w:val="24"/>
          <w:szCs w:val="24"/>
          <w:highlight w:val="none"/>
        </w:rPr>
        <w:t xml:space="preserve">附件</w:t>
      </w:r>
      <w:bookmarkEnd w:id="232"/>
      <w:r>
        <w:rPr>
          <w:rFonts w:hint="eastAsia" w:ascii="宋体" w:hAnsi="宋体" w:eastAsia="宋体" w:cs="宋体"/>
          <w:b/>
          <w:color w:val="auto"/>
          <w:sz w:val="24"/>
          <w:szCs w:val="24"/>
          <w:highlight w:val="none"/>
          <w:lang w:val="en-US" w:eastAsia="zh-CN"/>
        </w:rPr>
        <w:t xml:space="preserve">10</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商务要求响应及偏离表</w:t>
      </w:r>
      <w:r/>
    </w:p>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（由投标人据实填写，表格不够自行添加）</w:t>
      </w:r>
      <w:r/>
    </w:p>
    <w:tbl>
      <w:tblPr>
        <w:tblStyle w:val="71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5"/>
        <w:gridCol w:w="2415"/>
        <w:gridCol w:w="2109"/>
        <w:gridCol w:w="2721"/>
        <w:gridCol w:w="149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rHeight w:val="46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numPr>
          <w:ilvl w:val="0"/>
          <w:numId w:val="5"/>
        </w:num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投标人提交的投标文件中与招标文件第四章“采购需求”中的商务要求如有偏离的，应逐条填列在偏离表中。 </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59" w:firstLine="624"/>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供应商全称（加盖CA电子公章）：</w:t>
      </w:r>
      <w:r/>
    </w:p>
    <w:p>
      <w:pPr>
        <w:ind w:right="1559" w:firstLine="480"/>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559" w:firstLine="480"/>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0"/>
      </w:pPr>
      <w:r/>
      <w:bookmarkStart w:id="233" w:name="_Toc186493291"/>
      <w:r>
        <w:rPr>
          <w:rFonts w:hint="eastAsia" w:ascii="宋体" w:hAnsi="宋体" w:eastAsia="宋体" w:cs="宋体"/>
          <w:b/>
          <w:color w:val="auto"/>
          <w:sz w:val="24"/>
          <w:szCs w:val="24"/>
          <w:highlight w:val="none"/>
        </w:rPr>
        <w:t xml:space="preserve">附件1</w:t>
      </w:r>
      <w:bookmarkEnd w:id="233"/>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      </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实质性要求响应及偏离表 </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047"/>
        <w:gridCol w:w="179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招标文件技术要求和商务要求中的实质性要求</w:t>
            </w:r>
            <w:r>
              <w:rPr>
                <w:rFonts w:hint="eastAsia" w:ascii="宋体" w:hAnsi="宋体" w:eastAsia="宋体" w:cs="宋体"/>
                <w:i/>
                <w:color w:val="auto"/>
                <w:sz w:val="24"/>
                <w:szCs w:val="24"/>
                <w:highlight w:val="none"/>
                <w:u w:val="single"/>
              </w:rPr>
              <w:t xml:space="preserve">（加斜体下划线内容）</w:t>
            </w:r>
            <w:r/>
          </w:p>
        </w:tc>
        <w:tc>
          <w:tcPr>
            <w:tcW w:w="304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7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正偏离、无偏离、负偏离</w:t>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609"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47"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6"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609"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47"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6"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60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047"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6"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附件12-1 证明材料1，证明材料2，……</w:t>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1.供应商必须对技术要求和商务要求中的实质性要求（加斜体下划线内容）做出明确响应，未填写的内容视为完全响应本采购文件实质性要求。</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2.如果采购文件要求提供证明材料，供应商必须将证明材料列于该表之下，否则作无效响应处理。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59" w:firstLine="624"/>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供应商全称（加盖CA电子公章）：</w:t>
      </w:r>
      <w:r/>
    </w:p>
    <w:p>
      <w:pPr>
        <w:ind w:right="1559" w:firstLine="480"/>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559" w:firstLine="480"/>
        <w:jc w:val="center"/>
        <w:spacing w:line="0" w:lineRule="atLeas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4"/>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4"/>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8"/>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附件1</w:t>
      </w:r>
      <w:bookmarkEnd w:id="182"/>
      <w:r/>
      <w:bookmarkEnd w:id="183"/>
      <w:r/>
      <w:bookmarkEnd w:id="231"/>
      <w:r>
        <w:rPr>
          <w:rFonts w:hint="eastAsia" w:ascii="宋体" w:hAnsi="宋体" w:eastAsia="宋体" w:cs="宋体"/>
          <w:color w:val="auto"/>
          <w:highlight w:val="none"/>
          <w:lang w:val="en-US" w:eastAsia="zh-CN"/>
        </w:rPr>
        <w:t xml:space="preserve">2</w:t>
      </w:r>
      <w:r/>
    </w:p>
    <w:p>
      <w:pPr>
        <w:jc w:val="center"/>
        <w:rPr>
          <w:rFonts w:hint="eastAsia" w:ascii="宋体" w:hAnsi="宋体" w:eastAsia="宋体" w:cs="宋体"/>
          <w:b/>
          <w:bCs/>
          <w:color w:val="auto"/>
          <w:sz w:val="32"/>
          <w:szCs w:val="32"/>
          <w:highlight w:val="none"/>
        </w:rPr>
        <w:outlineLvl w:val="0"/>
      </w:pPr>
      <w:r/>
      <w:bookmarkStart w:id="234" w:name="_Toc186493292"/>
      <w:r>
        <w:rPr>
          <w:rFonts w:hint="eastAsia" w:ascii="宋体" w:hAnsi="宋体" w:eastAsia="宋体" w:cs="宋体"/>
          <w:b/>
          <w:bCs/>
          <w:color w:val="auto"/>
          <w:sz w:val="32"/>
          <w:szCs w:val="32"/>
          <w:highlight w:val="none"/>
        </w:rPr>
        <w:t xml:space="preserve">质疑函范本</w:t>
      </w:r>
      <w:bookmarkEnd w:id="234"/>
      <w:r/>
      <w:r/>
    </w:p>
    <w:p>
      <w:pPr>
        <w:spacing w:before="290" w:line="360" w:lineRule="auto"/>
        <w:rPr>
          <w:rFonts w:hint="eastAsia" w:ascii="宋体" w:hAnsi="宋体" w:eastAsia="宋体" w:cs="宋体"/>
          <w:bCs/>
          <w:color w:val="auto"/>
          <w:sz w:val="24"/>
          <w:szCs w:val="24"/>
          <w:highlight w:val="none"/>
        </w:rPr>
        <w:outlineLvl w:val="0"/>
      </w:pPr>
      <w:r/>
      <w:bookmarkStart w:id="235" w:name="_Toc186493293"/>
      <w:r>
        <w:rPr>
          <w:rFonts w:hint="eastAsia" w:ascii="宋体" w:hAnsi="宋体" w:eastAsia="宋体" w:cs="宋体"/>
          <w:bCs/>
          <w:color w:val="auto"/>
          <w:sz w:val="24"/>
          <w:szCs w:val="24"/>
          <w:highlight w:val="none"/>
        </w:rPr>
        <w:t xml:space="preserve">一、质疑供应商基本信息</w:t>
      </w:r>
      <w:bookmarkEnd w:id="235"/>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w:t>
      </w:r>
      <w:r/>
    </w:p>
    <w:p>
      <w:pPr>
        <w:spacing w:line="360" w:lineRule="auto"/>
        <w:rPr>
          <w:rFonts w:hint="eastAsia" w:ascii="宋体" w:hAnsi="宋体" w:eastAsia="宋体" w:cs="宋体"/>
          <w:bCs/>
          <w:color w:val="auto"/>
          <w:sz w:val="24"/>
          <w:szCs w:val="24"/>
          <w:highlight w:val="none"/>
        </w:rPr>
        <w:outlineLvl w:val="0"/>
      </w:pPr>
      <w:r/>
      <w:bookmarkStart w:id="236" w:name="_Toc186493294"/>
      <w:r>
        <w:rPr>
          <w:rFonts w:hint="eastAsia" w:ascii="宋体" w:hAnsi="宋体" w:eastAsia="宋体" w:cs="宋体"/>
          <w:bCs/>
          <w:color w:val="auto"/>
          <w:sz w:val="24"/>
          <w:szCs w:val="24"/>
          <w:highlight w:val="none"/>
        </w:rPr>
        <w:t xml:space="preserve">二、质疑项目基本情况</w:t>
      </w:r>
      <w:bookmarkEnd w:id="236"/>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p>
    <w:p>
      <w:pPr>
        <w:spacing w:line="360" w:lineRule="auto"/>
        <w:rPr>
          <w:rFonts w:hint="eastAsia" w:ascii="宋体" w:hAnsi="宋体" w:eastAsia="宋体" w:cs="宋体"/>
          <w:bCs/>
          <w:color w:val="auto"/>
          <w:sz w:val="24"/>
          <w:szCs w:val="24"/>
          <w:highlight w:val="none"/>
        </w:rPr>
        <w:outlineLvl w:val="0"/>
      </w:pPr>
      <w:r/>
      <w:bookmarkStart w:id="237" w:name="_Toc186493295"/>
      <w:r>
        <w:rPr>
          <w:rFonts w:hint="eastAsia" w:ascii="宋体" w:hAnsi="宋体" w:eastAsia="宋体" w:cs="宋体"/>
          <w:bCs/>
          <w:color w:val="auto"/>
          <w:sz w:val="24"/>
          <w:szCs w:val="24"/>
          <w:highlight w:val="none"/>
        </w:rPr>
        <w:t xml:space="preserve">三、质疑事项具体内容</w:t>
      </w:r>
      <w:bookmarkEnd w:id="237"/>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outlineLvl w:val="0"/>
      </w:pPr>
      <w:r/>
      <w:bookmarkStart w:id="238" w:name="_Toc186493296"/>
      <w:r>
        <w:rPr>
          <w:rFonts w:hint="eastAsia" w:ascii="宋体" w:hAnsi="宋体" w:eastAsia="宋体" w:cs="宋体"/>
          <w:bCs/>
          <w:color w:val="auto"/>
          <w:sz w:val="24"/>
          <w:szCs w:val="24"/>
          <w:highlight w:val="none"/>
        </w:rPr>
        <w:t xml:space="preserve">四、与质疑事项相关的质疑请求</w:t>
      </w:r>
      <w:bookmarkEnd w:id="238"/>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7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106" w:right="1247" w:bottom="1015" w:left="1247" w:header="907"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466480"/>
      <w:docPartObj>
        <w:docPartGallery w:val="autotext"/>
      </w:docPartObj>
      <w:rPr/>
    </w:sdtPr>
    <w:sdtContent>
      <w:p>
        <w:pPr>
          <w:pStyle w:val="731"/>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731"/>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5587"/>
      <w:docPartObj>
        <w:docPartGallery w:val="autotext"/>
      </w:docPartObj>
      <w:rPr/>
    </w:sdtPr>
    <w:sdtContent>
      <w:p>
        <w:pPr>
          <w:pStyle w:val="731"/>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Style w:val="747"/>
      </w:rPr>
      <w:framePr w:wrap="around" w:vAnchor="text" w:hAnchor="margin" w:xAlign="center" w:y="1"/>
    </w:pPr>
    <w:r>
      <w:rPr>
        <w:rStyle w:val="747"/>
      </w:rPr>
      <w:fldChar w:fldCharType="begin"/>
    </w:r>
    <w:r>
      <w:rPr>
        <w:rStyle w:val="747"/>
      </w:rPr>
      <w:instrText xml:space="preserve">PAGE  </w:instrText>
    </w:r>
    <w:r>
      <w:rPr>
        <w:rStyle w:val="747"/>
      </w:rPr>
      <w:fldChar w:fldCharType="separate"/>
    </w:r>
    <w:r>
      <w:rPr>
        <w:rStyle w:val="747"/>
      </w:rPr>
      <w:t xml:space="preserve">1</w:t>
    </w:r>
    <w:r>
      <w:rPr>
        <w:rStyle w:val="747"/>
      </w:rPr>
      <w:fldChar w:fldCharType="end"/>
    </w:r>
    <w:r/>
  </w:p>
  <w:p>
    <w:pPr>
      <w:pStyle w:val="73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fldChar w:fldCharType="begin"/>
    </w:r>
    <w:r>
      <w:instrText xml:space="preserve"> PAGE   \* MERGEFORMAT </w:instrText>
    </w:r>
    <w:r>
      <w:fldChar w:fldCharType="separate"/>
    </w:r>
    <w:r>
      <w:rPr>
        <w:lang w:val="zh-CN"/>
      </w:rPr>
      <w:t xml:space="preserve">19</w:t>
    </w:r>
    <w:r>
      <w:rPr>
        <w:lang w:val="zh-CN"/>
      </w:rPr>
      <w:fldChar w:fldCharType="end"/>
    </w:r>
    <w:r/>
  </w:p>
  <w:p>
    <w:pPr>
      <w:pStyle w:val="731"/>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5"/>
      <w:jc w:val="right"/>
      <w:spacing w:before="61" w:line="235" w:lineRule="auto"/>
      <w:rPr>
        <w:sz w:val="19"/>
        <w:szCs w:val="19"/>
      </w:rPr>
    </w:pPr>
    <w:r>
      <w:rPr>
        <w:sz w:val="19"/>
        <w:szCs w:val="19"/>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9">
    <w:name w:val="Heading 1"/>
    <w:basedOn w:val="708"/>
    <w:next w:val="708"/>
    <w:uiPriority w:val="0"/>
    <w:qFormat/>
    <w:pPr>
      <w:jc w:val="center"/>
      <w:keepNext/>
      <w:outlineLvl w:val="0"/>
    </w:pPr>
    <w:rPr>
      <w:rFonts w:ascii="楷体_GB2312" w:eastAsia="楷体_GB2312"/>
      <w:sz w:val="28"/>
      <w:szCs w:val="28"/>
    </w:rPr>
  </w:style>
  <w:style w:type="paragraph" w:styleId="710">
    <w:name w:val="Heading 2"/>
    <w:basedOn w:val="708"/>
    <w:next w:val="708"/>
    <w:link w:val="787"/>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88"/>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89"/>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90"/>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91"/>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93"/>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94"/>
    <w:uiPriority w:val="9"/>
    <w:unhideWhenUsed/>
    <w:qFormat/>
    <w:pPr>
      <w:keepLines/>
      <w:keepNext/>
      <w:spacing w:before="320" w:after="200"/>
      <w:outlineLvl w:val="8"/>
    </w:pPr>
    <w:rPr>
      <w:rFonts w:ascii="Arial" w:hAnsi="Arial" w:eastAsia="Arial" w:cs="Arial"/>
      <w:i/>
      <w:iCs/>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Normal Indent"/>
    <w:basedOn w:val="708"/>
    <w:uiPriority w:val="0"/>
    <w:qFormat/>
    <w:pPr>
      <w:ind w:firstLine="420"/>
    </w:pPr>
  </w:style>
  <w:style w:type="paragraph" w:styleId="722">
    <w:name w:val="Caption"/>
    <w:basedOn w:val="708"/>
    <w:next w:val="70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3">
    <w:name w:val="Body Text"/>
    <w:basedOn w:val="708"/>
    <w:uiPriority w:val="0"/>
    <w:qFormat/>
    <w:rPr>
      <w:rFonts w:ascii="楷体_GB2312" w:hAnsi="Arial" w:eastAsia="楷体_GB2312"/>
      <w:sz w:val="28"/>
      <w:szCs w:val="28"/>
    </w:rPr>
  </w:style>
  <w:style w:type="paragraph" w:styleId="724">
    <w:name w:val="Body Text Indent"/>
    <w:basedOn w:val="708"/>
    <w:next w:val="725"/>
    <w:uiPriority w:val="0"/>
    <w:qFormat/>
    <w:pPr>
      <w:ind w:firstLine="645"/>
    </w:pPr>
    <w:rPr>
      <w:rFonts w:ascii="楷体_GB2312" w:eastAsia="楷体_GB2312"/>
      <w:sz w:val="32"/>
      <w:szCs w:val="32"/>
    </w:rPr>
  </w:style>
  <w:style w:type="paragraph" w:styleId="725">
    <w:name w:val="envelope return"/>
    <w:basedOn w:val="708"/>
    <w:uiPriority w:val="99"/>
    <w:unhideWhenUsed/>
    <w:qFormat/>
    <w:rPr>
      <w:rFonts w:ascii="Arial" w:hAnsi="Arial"/>
    </w:rPr>
  </w:style>
  <w:style w:type="paragraph" w:styleId="726">
    <w:name w:val="toc 5"/>
    <w:basedOn w:val="708"/>
    <w:next w:val="708"/>
    <w:uiPriority w:val="39"/>
    <w:unhideWhenUsed/>
    <w:qFormat/>
    <w:pPr>
      <w:ind w:left="1134"/>
      <w:spacing w:after="57"/>
    </w:pPr>
  </w:style>
  <w:style w:type="paragraph" w:styleId="727">
    <w:name w:val="toc 3"/>
    <w:basedOn w:val="708"/>
    <w:next w:val="708"/>
    <w:uiPriority w:val="39"/>
    <w:unhideWhenUsed/>
    <w:qFormat/>
    <w:pPr>
      <w:ind w:left="567"/>
      <w:spacing w:after="57"/>
    </w:pPr>
  </w:style>
  <w:style w:type="paragraph" w:styleId="728">
    <w:name w:val="Plain Text"/>
    <w:basedOn w:val="708"/>
    <w:next w:val="708"/>
    <w:uiPriority w:val="0"/>
    <w:qFormat/>
    <w:rPr>
      <w:rFonts w:ascii="宋体" w:hAnsi="Courier New" w:cs="Courier New"/>
    </w:rPr>
  </w:style>
  <w:style w:type="paragraph" w:styleId="729">
    <w:name w:val="toc 8"/>
    <w:basedOn w:val="708"/>
    <w:next w:val="708"/>
    <w:uiPriority w:val="39"/>
    <w:unhideWhenUsed/>
    <w:qFormat/>
    <w:pPr>
      <w:ind w:left="1984"/>
      <w:spacing w:after="57"/>
    </w:pPr>
  </w:style>
  <w:style w:type="paragraph" w:styleId="730">
    <w:name w:val="endnote text"/>
    <w:basedOn w:val="708"/>
    <w:link w:val="931"/>
    <w:uiPriority w:val="99"/>
    <w:semiHidden/>
    <w:unhideWhenUsed/>
    <w:qFormat/>
    <w:rPr>
      <w:sz w:val="20"/>
    </w:rPr>
  </w:style>
  <w:style w:type="paragraph" w:styleId="731">
    <w:name w:val="Footer"/>
    <w:basedOn w:val="708"/>
    <w:link w:val="947"/>
    <w:uiPriority w:val="99"/>
    <w:qFormat/>
    <w:pPr>
      <w:jc w:val="left"/>
      <w:tabs>
        <w:tab w:val="center" w:pos="4153" w:leader="none"/>
        <w:tab w:val="right" w:pos="8306" w:leader="none"/>
      </w:tabs>
    </w:pPr>
    <w:rPr>
      <w:sz w:val="18"/>
      <w:szCs w:val="18"/>
    </w:rPr>
  </w:style>
  <w:style w:type="paragraph" w:styleId="732">
    <w:name w:val="Header"/>
    <w:basedOn w:val="708"/>
    <w:uiPriority w:val="0"/>
    <w:qFormat/>
    <w:pPr>
      <w:jc w:val="center"/>
      <w:tabs>
        <w:tab w:val="center" w:pos="4153" w:leader="none"/>
        <w:tab w:val="right" w:pos="8306" w:leader="none"/>
      </w:tabs>
    </w:pPr>
    <w:rPr>
      <w:sz w:val="18"/>
      <w:szCs w:val="18"/>
    </w:rPr>
  </w:style>
  <w:style w:type="paragraph" w:styleId="733">
    <w:name w:val="toc 1"/>
    <w:basedOn w:val="708"/>
    <w:next w:val="708"/>
    <w:uiPriority w:val="39"/>
    <w:qFormat/>
    <w:pPr>
      <w:jc w:val="left"/>
      <w:spacing w:before="120" w:after="120" w:line="400" w:lineRule="exact"/>
      <w:tabs>
        <w:tab w:val="right" w:pos="8720" w:leader="dot"/>
      </w:tabs>
    </w:pPr>
    <w:rPr>
      <w:rFonts w:ascii="宋体" w:hAnsi="宋体"/>
      <w:caps/>
      <w:sz w:val="24"/>
      <w:szCs w:val="24"/>
    </w:rPr>
  </w:style>
  <w:style w:type="paragraph" w:styleId="734">
    <w:name w:val="toc 4"/>
    <w:basedOn w:val="708"/>
    <w:next w:val="708"/>
    <w:uiPriority w:val="39"/>
    <w:unhideWhenUsed/>
    <w:qFormat/>
    <w:pPr>
      <w:ind w:left="850"/>
      <w:spacing w:after="57"/>
    </w:pPr>
  </w:style>
  <w:style w:type="paragraph" w:styleId="735">
    <w:name w:val="Subtitle"/>
    <w:basedOn w:val="708"/>
    <w:next w:val="708"/>
    <w:link w:val="797"/>
    <w:uiPriority w:val="11"/>
    <w:qFormat/>
    <w:pPr>
      <w:spacing w:before="200" w:after="200"/>
    </w:pPr>
    <w:rPr>
      <w:sz w:val="24"/>
      <w:szCs w:val="24"/>
    </w:rPr>
  </w:style>
  <w:style w:type="paragraph" w:styleId="736">
    <w:name w:val="footnote text"/>
    <w:basedOn w:val="708"/>
    <w:link w:val="930"/>
    <w:uiPriority w:val="99"/>
    <w:semiHidden/>
    <w:unhideWhenUsed/>
    <w:qFormat/>
    <w:pPr>
      <w:spacing w:after="40"/>
    </w:pPr>
    <w:rPr>
      <w:sz w:val="18"/>
    </w:rPr>
  </w:style>
  <w:style w:type="paragraph" w:styleId="737">
    <w:name w:val="toc 6"/>
    <w:basedOn w:val="708"/>
    <w:next w:val="708"/>
    <w:uiPriority w:val="39"/>
    <w:unhideWhenUsed/>
    <w:qFormat/>
    <w:pPr>
      <w:ind w:left="1417"/>
      <w:spacing w:after="57"/>
    </w:pPr>
  </w:style>
  <w:style w:type="paragraph" w:styleId="738">
    <w:name w:val="table of figures"/>
    <w:basedOn w:val="708"/>
    <w:next w:val="708"/>
    <w:uiPriority w:val="99"/>
    <w:unhideWhenUsed/>
    <w:qFormat/>
  </w:style>
  <w:style w:type="paragraph" w:styleId="739">
    <w:name w:val="toc 2"/>
    <w:basedOn w:val="708"/>
    <w:next w:val="708"/>
    <w:uiPriority w:val="39"/>
    <w:unhideWhenUsed/>
    <w:qFormat/>
    <w:pPr>
      <w:ind w:left="283"/>
      <w:spacing w:after="57"/>
    </w:pPr>
  </w:style>
  <w:style w:type="paragraph" w:styleId="740">
    <w:name w:val="toc 9"/>
    <w:basedOn w:val="708"/>
    <w:next w:val="708"/>
    <w:uiPriority w:val="39"/>
    <w:unhideWhenUsed/>
    <w:qFormat/>
    <w:pPr>
      <w:ind w:left="2268"/>
      <w:spacing w:after="57"/>
    </w:pPr>
  </w:style>
  <w:style w:type="paragraph" w:styleId="741">
    <w:name w:val="Normal (Web)"/>
    <w:basedOn w:val="708"/>
    <w:uiPriority w:val="99"/>
    <w:qFormat/>
    <w:pPr>
      <w:jc w:val="left"/>
      <w:spacing w:before="100" w:beforeAutospacing="1" w:after="100" w:afterAutospacing="1"/>
      <w:widowControl/>
    </w:pPr>
    <w:rPr>
      <w:rFonts w:ascii="宋体" w:hAnsi="宋体" w:cs="宋体"/>
      <w:sz w:val="24"/>
      <w:szCs w:val="24"/>
    </w:rPr>
  </w:style>
  <w:style w:type="paragraph" w:styleId="742">
    <w:name w:val="Title"/>
    <w:basedOn w:val="708"/>
    <w:next w:val="708"/>
    <w:link w:val="796"/>
    <w:uiPriority w:val="10"/>
    <w:qFormat/>
    <w:pPr>
      <w:contextualSpacing/>
      <w:spacing w:before="300" w:after="200"/>
    </w:pPr>
    <w:rPr>
      <w:sz w:val="48"/>
      <w:szCs w:val="48"/>
    </w:rPr>
  </w:style>
  <w:style w:type="paragraph" w:styleId="743">
    <w:name w:val="Body Text First Indent"/>
    <w:basedOn w:val="723"/>
    <w:uiPriority w:val="0"/>
    <w:qFormat/>
    <w:pPr>
      <w:ind w:firstLine="200"/>
      <w:spacing w:line="360" w:lineRule="auto"/>
    </w:pPr>
    <w:rPr>
      <w:rFonts w:ascii="仿宋_GB2312" w:eastAsia="仿宋_GB2312"/>
      <w:sz w:val="30"/>
      <w:szCs w:val="30"/>
    </w:rPr>
  </w:style>
  <w:style w:type="paragraph" w:styleId="744">
    <w:name w:val="Body Text First Indent 2"/>
    <w:basedOn w:val="724"/>
    <w:next w:val="708"/>
    <w:uiPriority w:val="0"/>
    <w:qFormat/>
    <w:pPr>
      <w:ind w:firstLine="420"/>
      <w:spacing w:line="360" w:lineRule="auto"/>
    </w:pPr>
    <w:rPr>
      <w:rFonts w:ascii="宋体" w:hAnsi="宋体" w:eastAsia="宋体"/>
      <w:sz w:val="21"/>
      <w:szCs w:val="20"/>
    </w:rPr>
  </w:style>
  <w:style w:type="table" w:styleId="745">
    <w:name w:val="Table Grid"/>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basedOn w:val="718"/>
    <w:uiPriority w:val="99"/>
    <w:semiHidden/>
    <w:unhideWhenUsed/>
    <w:qFormat/>
    <w:rPr>
      <w:vertAlign w:val="superscript"/>
    </w:rPr>
  </w:style>
  <w:style w:type="character" w:styleId="747">
    <w:name w:val="page number"/>
    <w:basedOn w:val="718"/>
    <w:uiPriority w:val="0"/>
    <w:qFormat/>
  </w:style>
  <w:style w:type="character" w:styleId="748">
    <w:name w:val="FollowedHyperlink"/>
    <w:basedOn w:val="718"/>
    <w:uiPriority w:val="99"/>
    <w:semiHidden/>
    <w:unhideWhenUsed/>
    <w:qFormat/>
    <w:rPr>
      <w:color w:val="333333"/>
      <w:u w:val="none"/>
    </w:rPr>
  </w:style>
  <w:style w:type="character" w:styleId="749">
    <w:name w:val="Hyperlink"/>
    <w:uiPriority w:val="99"/>
    <w:unhideWhenUsed/>
    <w:qFormat/>
    <w:rPr>
      <w:color w:val="0026e5" w:themeColor="hyperlink"/>
      <w:u w:val="single"/>
      <w14:textFill>
        <w14:solidFill>
          <w14:schemeClr w14:val="hlink"/>
        </w14:solidFill>
      </w14:textFill>
    </w:rPr>
  </w:style>
  <w:style w:type="character" w:styleId="750">
    <w:name w:val="footnote reference"/>
    <w:basedOn w:val="718"/>
    <w:uiPriority w:val="99"/>
    <w:unhideWhenUsed/>
    <w:qFormat/>
    <w:rPr>
      <w:vertAlign w:val="superscript"/>
    </w:rPr>
  </w:style>
  <w:style w:type="character" w:styleId="751" w:customStyle="1">
    <w:name w:val="Heading 2 Char"/>
    <w:basedOn w:val="718"/>
    <w:uiPriority w:val="9"/>
    <w:qFormat/>
    <w:rPr>
      <w:rFonts w:ascii="Arial" w:hAnsi="Arial" w:eastAsia="Arial" w:cs="Arial"/>
      <w:sz w:val="34"/>
    </w:rPr>
  </w:style>
  <w:style w:type="character" w:styleId="752" w:customStyle="1">
    <w:name w:val="Heading 3 Char"/>
    <w:basedOn w:val="718"/>
    <w:uiPriority w:val="9"/>
    <w:qFormat/>
    <w:rPr>
      <w:rFonts w:ascii="Arial" w:hAnsi="Arial" w:eastAsia="Arial" w:cs="Arial"/>
      <w:sz w:val="30"/>
      <w:szCs w:val="30"/>
    </w:rPr>
  </w:style>
  <w:style w:type="character" w:styleId="753" w:customStyle="1">
    <w:name w:val="Heading 4 Char"/>
    <w:basedOn w:val="718"/>
    <w:uiPriority w:val="9"/>
    <w:qFormat/>
    <w:rPr>
      <w:rFonts w:ascii="Arial" w:hAnsi="Arial" w:eastAsia="Arial" w:cs="Arial"/>
      <w:b/>
      <w:bCs/>
      <w:sz w:val="26"/>
      <w:szCs w:val="26"/>
    </w:rPr>
  </w:style>
  <w:style w:type="character" w:styleId="754" w:customStyle="1">
    <w:name w:val="Heading 5 Char"/>
    <w:basedOn w:val="718"/>
    <w:uiPriority w:val="9"/>
    <w:qFormat/>
    <w:rPr>
      <w:rFonts w:ascii="Arial" w:hAnsi="Arial" w:eastAsia="Arial" w:cs="Arial"/>
      <w:b/>
      <w:bCs/>
      <w:sz w:val="24"/>
      <w:szCs w:val="24"/>
    </w:rPr>
  </w:style>
  <w:style w:type="character" w:styleId="755" w:customStyle="1">
    <w:name w:val="Heading 6 Char"/>
    <w:basedOn w:val="718"/>
    <w:uiPriority w:val="9"/>
    <w:qFormat/>
    <w:rPr>
      <w:rFonts w:ascii="Arial" w:hAnsi="Arial" w:eastAsia="Arial" w:cs="Arial"/>
      <w:b/>
      <w:bCs/>
      <w:sz w:val="22"/>
      <w:szCs w:val="22"/>
    </w:rPr>
  </w:style>
  <w:style w:type="character" w:styleId="756" w:customStyle="1">
    <w:name w:val="Heading 7 Char"/>
    <w:basedOn w:val="718"/>
    <w:uiPriority w:val="9"/>
    <w:qFormat/>
    <w:rPr>
      <w:rFonts w:ascii="Arial" w:hAnsi="Arial" w:eastAsia="Arial" w:cs="Arial"/>
      <w:b/>
      <w:bCs/>
      <w:i/>
      <w:iCs/>
      <w:sz w:val="22"/>
      <w:szCs w:val="22"/>
    </w:rPr>
  </w:style>
  <w:style w:type="character" w:styleId="757" w:customStyle="1">
    <w:name w:val="Heading 8 Char"/>
    <w:basedOn w:val="718"/>
    <w:uiPriority w:val="9"/>
    <w:qFormat/>
    <w:rPr>
      <w:rFonts w:ascii="Arial" w:hAnsi="Arial" w:eastAsia="Arial" w:cs="Arial"/>
      <w:i/>
      <w:iCs/>
      <w:sz w:val="22"/>
      <w:szCs w:val="22"/>
    </w:rPr>
  </w:style>
  <w:style w:type="character" w:styleId="758" w:customStyle="1">
    <w:name w:val="Heading 9 Char"/>
    <w:basedOn w:val="718"/>
    <w:uiPriority w:val="9"/>
    <w:qFormat/>
    <w:rPr>
      <w:rFonts w:ascii="Arial" w:hAnsi="Arial" w:eastAsia="Arial" w:cs="Arial"/>
      <w:i/>
      <w:iCs/>
      <w:sz w:val="21"/>
      <w:szCs w:val="21"/>
    </w:rPr>
  </w:style>
  <w:style w:type="character" w:styleId="759" w:customStyle="1">
    <w:name w:val="Title Char"/>
    <w:basedOn w:val="718"/>
    <w:uiPriority w:val="10"/>
    <w:qFormat/>
    <w:rPr>
      <w:sz w:val="48"/>
      <w:szCs w:val="48"/>
    </w:rPr>
  </w:style>
  <w:style w:type="character" w:styleId="760" w:customStyle="1">
    <w:name w:val="Subtitle Char"/>
    <w:basedOn w:val="718"/>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table" w:styleId="763"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Heading"/>
    <w:uiPriority w:val="39"/>
    <w:unhideWhenUsed/>
    <w:qFormat/>
    <w:rPr>
      <w:rFonts w:hint="default" w:asciiTheme="minorHAnsi" w:hAnsiTheme="minorHAnsi" w:eastAsiaTheme="minorEastAsia" w:cstheme="minorBidi"/>
    </w:rPr>
  </w:style>
  <w:style w:type="paragraph" w:styleId="785" w:customStyle="1">
    <w:name w:val="报告正文"/>
    <w:basedOn w:val="708"/>
    <w:uiPriority w:val="0"/>
    <w:qFormat/>
    <w:pPr>
      <w:ind w:firstLine="560"/>
    </w:pPr>
    <w:rPr>
      <w:szCs w:val="20"/>
      <w:lang w:val="zh-CN"/>
    </w:rPr>
  </w:style>
  <w:style w:type="character" w:styleId="786" w:customStyle="1">
    <w:name w:val="Heading 1 Char"/>
    <w:basedOn w:val="718"/>
    <w:uiPriority w:val="9"/>
    <w:qFormat/>
    <w:rPr>
      <w:rFonts w:ascii="Arial" w:hAnsi="Arial" w:eastAsia="Arial" w:cs="Arial"/>
      <w:sz w:val="40"/>
      <w:szCs w:val="40"/>
    </w:rPr>
  </w:style>
  <w:style w:type="character" w:styleId="787" w:customStyle="1">
    <w:name w:val="标题 2 Char"/>
    <w:basedOn w:val="718"/>
    <w:link w:val="710"/>
    <w:uiPriority w:val="9"/>
    <w:qFormat/>
    <w:rPr>
      <w:rFonts w:ascii="Arial" w:hAnsi="Arial" w:eastAsia="Arial" w:cs="Arial"/>
      <w:sz w:val="34"/>
    </w:rPr>
  </w:style>
  <w:style w:type="character" w:styleId="788" w:customStyle="1">
    <w:name w:val="标题 3 Char"/>
    <w:basedOn w:val="718"/>
    <w:link w:val="711"/>
    <w:uiPriority w:val="9"/>
    <w:qFormat/>
    <w:rPr>
      <w:rFonts w:ascii="Arial" w:hAnsi="Arial" w:eastAsia="Arial" w:cs="Arial"/>
      <w:sz w:val="30"/>
      <w:szCs w:val="30"/>
    </w:rPr>
  </w:style>
  <w:style w:type="character" w:styleId="789" w:customStyle="1">
    <w:name w:val="标题 4 Char"/>
    <w:basedOn w:val="718"/>
    <w:link w:val="712"/>
    <w:uiPriority w:val="9"/>
    <w:qFormat/>
    <w:rPr>
      <w:rFonts w:ascii="Arial" w:hAnsi="Arial" w:eastAsia="Arial" w:cs="Arial"/>
      <w:b/>
      <w:bCs/>
      <w:sz w:val="26"/>
      <w:szCs w:val="26"/>
    </w:rPr>
  </w:style>
  <w:style w:type="character" w:styleId="790" w:customStyle="1">
    <w:name w:val="标题 5 Char"/>
    <w:basedOn w:val="718"/>
    <w:link w:val="713"/>
    <w:uiPriority w:val="9"/>
    <w:qFormat/>
    <w:rPr>
      <w:rFonts w:ascii="Arial" w:hAnsi="Arial" w:eastAsia="Arial" w:cs="Arial"/>
      <w:b/>
      <w:bCs/>
      <w:sz w:val="24"/>
      <w:szCs w:val="24"/>
    </w:rPr>
  </w:style>
  <w:style w:type="character" w:styleId="791" w:customStyle="1">
    <w:name w:val="标题 6 Char"/>
    <w:basedOn w:val="718"/>
    <w:link w:val="714"/>
    <w:uiPriority w:val="9"/>
    <w:qFormat/>
    <w:rPr>
      <w:rFonts w:ascii="Arial" w:hAnsi="Arial" w:eastAsia="Arial" w:cs="Arial"/>
      <w:b/>
      <w:bCs/>
      <w:sz w:val="22"/>
      <w:szCs w:val="22"/>
    </w:rPr>
  </w:style>
  <w:style w:type="character" w:styleId="792" w:customStyle="1">
    <w:name w:val="标题 7 Char"/>
    <w:basedOn w:val="718"/>
    <w:link w:val="715"/>
    <w:uiPriority w:val="9"/>
    <w:qFormat/>
    <w:rPr>
      <w:rFonts w:ascii="Arial" w:hAnsi="Arial" w:eastAsia="Arial" w:cs="Arial"/>
      <w:b/>
      <w:bCs/>
      <w:i/>
      <w:iCs/>
      <w:sz w:val="22"/>
      <w:szCs w:val="22"/>
    </w:rPr>
  </w:style>
  <w:style w:type="character" w:styleId="793" w:customStyle="1">
    <w:name w:val="标题 8 Char"/>
    <w:basedOn w:val="718"/>
    <w:link w:val="716"/>
    <w:uiPriority w:val="9"/>
    <w:qFormat/>
    <w:rPr>
      <w:rFonts w:ascii="Arial" w:hAnsi="Arial" w:eastAsia="Arial" w:cs="Arial"/>
      <w:i/>
      <w:iCs/>
      <w:sz w:val="22"/>
      <w:szCs w:val="22"/>
    </w:rPr>
  </w:style>
  <w:style w:type="character" w:styleId="794" w:customStyle="1">
    <w:name w:val="标题 9 Char"/>
    <w:basedOn w:val="718"/>
    <w:link w:val="717"/>
    <w:uiPriority w:val="9"/>
    <w:qFormat/>
    <w:rPr>
      <w:rFonts w:ascii="Arial" w:hAnsi="Arial" w:eastAsia="Arial" w:cs="Arial"/>
      <w:i/>
      <w:iCs/>
      <w:sz w:val="21"/>
      <w:szCs w:val="21"/>
    </w:rPr>
  </w:style>
  <w:style w:type="paragraph" w:styleId="795">
    <w:name w:val="List Paragraph"/>
    <w:basedOn w:val="708"/>
    <w:uiPriority w:val="34"/>
    <w:qFormat/>
    <w:pPr>
      <w:contextualSpacing/>
      <w:ind w:left="720"/>
    </w:pPr>
  </w:style>
  <w:style w:type="character" w:styleId="796" w:customStyle="1">
    <w:name w:val="标题 Char"/>
    <w:basedOn w:val="718"/>
    <w:link w:val="742"/>
    <w:uiPriority w:val="10"/>
    <w:qFormat/>
    <w:rPr>
      <w:sz w:val="48"/>
      <w:szCs w:val="48"/>
    </w:rPr>
  </w:style>
  <w:style w:type="character" w:styleId="797" w:customStyle="1">
    <w:name w:val="副标题 Char"/>
    <w:basedOn w:val="718"/>
    <w:link w:val="735"/>
    <w:uiPriority w:val="11"/>
    <w:qFormat/>
    <w:rPr>
      <w:sz w:val="24"/>
      <w:szCs w:val="24"/>
    </w:rPr>
  </w:style>
  <w:style w:type="paragraph" w:styleId="798">
    <w:name w:val="Quote"/>
    <w:basedOn w:val="708"/>
    <w:next w:val="708"/>
    <w:link w:val="799"/>
    <w:uiPriority w:val="29"/>
    <w:qFormat/>
    <w:pPr>
      <w:ind w:left="720" w:right="720"/>
    </w:pPr>
    <w:rPr>
      <w:i/>
    </w:rPr>
  </w:style>
  <w:style w:type="character" w:styleId="799" w:customStyle="1">
    <w:name w:val="引用 Char"/>
    <w:link w:val="798"/>
    <w:uiPriority w:val="29"/>
    <w:qFormat/>
    <w:rPr>
      <w:i/>
    </w:rPr>
  </w:style>
  <w:style w:type="paragraph" w:styleId="800">
    <w:name w:val="Intense Quote"/>
    <w:basedOn w:val="708"/>
    <w:next w:val="708"/>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qFormat/>
    <w:rPr>
      <w:i/>
    </w:rPr>
  </w:style>
  <w:style w:type="character" w:styleId="802" w:customStyle="1">
    <w:name w:val="Header Char"/>
    <w:basedOn w:val="718"/>
    <w:uiPriority w:val="99"/>
    <w:qFormat/>
  </w:style>
  <w:style w:type="character" w:styleId="803" w:customStyle="1">
    <w:name w:val="Footer Char"/>
    <w:basedOn w:val="718"/>
    <w:uiPriority w:val="99"/>
    <w:qFormat/>
  </w:style>
  <w:style w:type="character" w:styleId="804" w:customStyle="1">
    <w:name w:val="Caption Char"/>
    <w:uiPriority w:val="99"/>
    <w:qFormat/>
  </w:style>
  <w:style w:type="table" w:styleId="805" w:customStyle="1">
    <w:name w:val="Table Grid Light"/>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1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1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1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1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1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1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1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1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1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1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19"/>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19"/>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5"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1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1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1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1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19"/>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19"/>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1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4" w:customStyle="1">
    <w:name w:val="Grid Table 4 - Accent 2"/>
    <w:basedOn w:val="71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5" w:customStyle="1">
    <w:name w:val="Grid Table 4 - Accent 3"/>
    <w:basedOn w:val="71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6" w:customStyle="1">
    <w:name w:val="Grid Table 4 - Accent 4"/>
    <w:basedOn w:val="71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7" w:customStyle="1">
    <w:name w:val="Grid Table 4 - Accent 5"/>
    <w:basedOn w:val="71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8" w:customStyle="1">
    <w:name w:val="Grid Table 4 - Accent 6"/>
    <w:basedOn w:val="71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9"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1"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2"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3"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4"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5"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6"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1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1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1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50" w:customStyle="1">
    <w:name w:val="Grid Table 6 Colorful - Accent 4"/>
    <w:basedOn w:val="71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1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2" w:customStyle="1">
    <w:name w:val="Grid Table 6 Colorful - Accent 6"/>
    <w:basedOn w:val="71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3"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1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1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1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1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1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1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basedOn w:val="71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19"/>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19"/>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19"/>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19"/>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19"/>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19"/>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7"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1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9" w:customStyle="1">
    <w:name w:val="List Table 2 - Accent 2"/>
    <w:basedOn w:val="71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0" w:customStyle="1">
    <w:name w:val="List Table 2 - Accent 3"/>
    <w:basedOn w:val="71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1" w:customStyle="1">
    <w:name w:val="List Table 2 - Accent 4"/>
    <w:basedOn w:val="71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2" w:customStyle="1">
    <w:name w:val="List Table 2 - Accent 5"/>
    <w:basedOn w:val="71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3" w:customStyle="1">
    <w:name w:val="List Table 2 - Accent 6"/>
    <w:basedOn w:val="71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4"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1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6" w:customStyle="1">
    <w:name w:val="List Table 3 - Accent 2"/>
    <w:basedOn w:val="71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1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1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1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1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1"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1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3" w:customStyle="1">
    <w:name w:val="List Table 4 - Accent 2"/>
    <w:basedOn w:val="71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4" w:customStyle="1">
    <w:name w:val="List Table 4 - Accent 3"/>
    <w:basedOn w:val="71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5" w:customStyle="1">
    <w:name w:val="List Table 4 - Accent 4"/>
    <w:basedOn w:val="71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6" w:customStyle="1">
    <w:name w:val="List Table 4 - Accent 5"/>
    <w:basedOn w:val="71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7" w:customStyle="1">
    <w:name w:val="List Table 4 - Accent 6"/>
    <w:basedOn w:val="71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8"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1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1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1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1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1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1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清单表 6 彩色1"/>
    <w:basedOn w:val="71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19"/>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7" w:customStyle="1">
    <w:name w:val="List Table 6 Colorful - Accent 2"/>
    <w:basedOn w:val="719"/>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8" w:customStyle="1">
    <w:name w:val="List Table 6 Colorful - Accent 3"/>
    <w:basedOn w:val="719"/>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9" w:customStyle="1">
    <w:name w:val="List Table 6 Colorful - Accent 4"/>
    <w:basedOn w:val="719"/>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0" w:customStyle="1">
    <w:name w:val="List Table 6 Colorful - Accent 5"/>
    <w:basedOn w:val="719"/>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1" w:customStyle="1">
    <w:name w:val="List Table 6 Colorful - Accent 6"/>
    <w:basedOn w:val="719"/>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2" w:customStyle="1">
    <w:name w:val="清单表 7 彩色1"/>
    <w:basedOn w:val="71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19"/>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19"/>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19"/>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19"/>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19"/>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19"/>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1" w:customStyle="1">
    <w:name w:val="Lined - Accent 2"/>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2" w:customStyle="1">
    <w:name w:val="Lined - Accent 3"/>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3" w:customStyle="1">
    <w:name w:val="Lined - Accent 4"/>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4" w:customStyle="1">
    <w:name w:val="Lined - Accent 5"/>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5" w:customStyle="1">
    <w:name w:val="Lined - Accent 6"/>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6"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1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8" w:customStyle="1">
    <w:name w:val="Bordered &amp; Lined - Accent 2"/>
    <w:basedOn w:val="71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9" w:customStyle="1">
    <w:name w:val="Bordered &amp; Lined - Accent 3"/>
    <w:basedOn w:val="71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0" w:customStyle="1">
    <w:name w:val="Bordered &amp; Lined - Accent 4"/>
    <w:basedOn w:val="71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1" w:customStyle="1">
    <w:name w:val="Bordered &amp; Lined - Accent 5"/>
    <w:basedOn w:val="71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2" w:customStyle="1">
    <w:name w:val="Bordered &amp; Lined - Accent 6"/>
    <w:basedOn w:val="71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3"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1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5" w:customStyle="1">
    <w:name w:val="Bordered - Accent 2"/>
    <w:basedOn w:val="71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6" w:customStyle="1">
    <w:name w:val="Bordered - Accent 3"/>
    <w:basedOn w:val="71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7" w:customStyle="1">
    <w:name w:val="Bordered - Accent 4"/>
    <w:basedOn w:val="71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8" w:customStyle="1">
    <w:name w:val="Bordered - Accent 5"/>
    <w:basedOn w:val="71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9" w:customStyle="1">
    <w:name w:val="Bordered - Accent 6"/>
    <w:basedOn w:val="71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0" w:customStyle="1">
    <w:name w:val="脚注文本 Char"/>
    <w:link w:val="736"/>
    <w:uiPriority w:val="99"/>
    <w:qFormat/>
    <w:rPr>
      <w:sz w:val="18"/>
    </w:rPr>
  </w:style>
  <w:style w:type="character" w:styleId="931" w:customStyle="1">
    <w:name w:val="尾注文本 Char"/>
    <w:link w:val="730"/>
    <w:uiPriority w:val="99"/>
    <w:qFormat/>
    <w:rPr>
      <w:sz w:val="20"/>
    </w:rPr>
  </w:style>
  <w:style w:type="paragraph" w:styleId="932" w:customStyle="1">
    <w:name w:val="TOC 标题1"/>
    <w:uiPriority w:val="39"/>
    <w:unhideWhenUsed/>
    <w:qFormat/>
    <w:rPr>
      <w:rFonts w:hint="default" w:asciiTheme="minorHAnsi" w:hAnsiTheme="minorHAnsi" w:eastAsiaTheme="minorEastAsia" w:cstheme="minorBidi"/>
      <w:lang w:val="en-US" w:eastAsia="zh-CN" w:bidi="ar-SA"/>
    </w:rPr>
  </w:style>
  <w:style w:type="paragraph" w:styleId="933"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34">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35" w:customStyle="1">
    <w:name w:val="一级目录"/>
    <w:next w:val="708"/>
    <w:uiPriority w:val="0"/>
    <w:qFormat/>
    <w:pPr>
      <w:jc w:val="center"/>
      <w:outlineLvl w:val="0"/>
    </w:pPr>
    <w:rPr>
      <w:rFonts w:hint="default" w:ascii="黑体" w:hAnsi="Times New Roman" w:eastAsia="黑体" w:cs="Times New Roman"/>
      <w:b/>
      <w:sz w:val="44"/>
      <w:szCs w:val="44"/>
      <w:lang w:val="en-US" w:eastAsia="zh-CN" w:bidi="ar-SA"/>
    </w:rPr>
  </w:style>
  <w:style w:type="paragraph" w:styleId="936" w:customStyle="1">
    <w:name w:val="二级目录"/>
    <w:next w:val="708"/>
    <w:uiPriority w:val="0"/>
    <w:qFormat/>
    <w:pPr>
      <w:numPr>
        <w:ilvl w:val="0"/>
        <w:numId w:val="1"/>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37" w:customStyle="1">
    <w:name w:val="Table Paragraph"/>
    <w:basedOn w:val="708"/>
    <w:uiPriority w:val="1"/>
    <w:qFormat/>
    <w:rPr>
      <w:rFonts w:ascii="宋体" w:hAnsi="宋体" w:cs="宋体"/>
      <w:lang w:val="zh-CN" w:bidi="zh-CN"/>
    </w:rPr>
  </w:style>
  <w:style w:type="paragraph" w:styleId="93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939" w:customStyle="1">
    <w:name w:val="正文文本11"/>
    <w:basedOn w:val="708"/>
    <w:next w:val="708"/>
    <w:uiPriority w:val="0"/>
    <w:qFormat/>
    <w:rPr>
      <w:rFonts w:ascii="楷体_GB2312" w:hAnsi="Arial" w:eastAsia="楷体_GB2312"/>
      <w:sz w:val="28"/>
      <w:szCs w:val="28"/>
    </w:rPr>
  </w:style>
  <w:style w:type="paragraph" w:styleId="940" w:customStyle="1">
    <w:name w:val="一级条标题"/>
    <w:basedOn w:val="941"/>
    <w:next w:val="9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70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2" w:customStyle="1">
    <w:name w:val="段"/>
    <w:next w:val="708"/>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943" w:customStyle="1">
    <w:name w:val="font51"/>
    <w:basedOn w:val="718"/>
    <w:uiPriority w:val="0"/>
    <w:qFormat/>
    <w:rPr>
      <w:rFonts w:hint="eastAsia" w:ascii="宋体" w:hAnsi="宋体" w:eastAsia="宋体" w:cs="宋体"/>
      <w:b/>
      <w:bCs/>
      <w:color w:val="000000"/>
      <w:sz w:val="40"/>
      <w:szCs w:val="40"/>
      <w:u w:val="none"/>
    </w:rPr>
  </w:style>
  <w:style w:type="paragraph" w:styleId="944" w:customStyle="1">
    <w:name w:val="正文缩进1"/>
    <w:basedOn w:val="708"/>
    <w:uiPriority w:val="99"/>
    <w:qFormat/>
    <w:pPr>
      <w:jc w:val="left"/>
    </w:pPr>
    <w:rPr>
      <w:sz w:val="24"/>
    </w:rPr>
  </w:style>
  <w:style w:type="paragraph" w:styleId="945" w:customStyle="1">
    <w:name w:val="BodyText"/>
    <w:basedOn w:val="708"/>
    <w:uiPriority w:val="0"/>
    <w:qFormat/>
    <w:pPr>
      <w:ind w:left="72" w:right="30"/>
      <w:jc w:val="center"/>
      <w:spacing w:after="60" w:line="360" w:lineRule="atLeast"/>
    </w:pPr>
  </w:style>
  <w:style w:type="table" w:styleId="946" w:customStyle="1">
    <w:name w:val="网格型1"/>
    <w:basedOn w:val="71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7" w:customStyle="1">
    <w:name w:val="页脚 Char"/>
    <w:basedOn w:val="718"/>
    <w:link w:val="731"/>
    <w:uiPriority w:val="99"/>
    <w:qFormat/>
    <w:rPr>
      <w:rFonts w:ascii="Times New Roman" w:hAnsi="Times New Roman" w:eastAsia="宋体" w:cs="Times New Roman"/>
      <w:sz w:val="18"/>
      <w:szCs w:val="18"/>
    </w:rPr>
  </w:style>
  <w:style w:type="character" w:styleId="948" w:customStyle="1">
    <w:name w:val="font21"/>
    <w:basedOn w:val="718"/>
    <w:uiPriority w:val="0"/>
    <w:qFormat/>
    <w:rPr>
      <w:rFonts w:hint="eastAsia" w:ascii="宋体" w:hAnsi="宋体" w:eastAsia="宋体" w:cs="宋体"/>
      <w:color w:val="000000"/>
      <w:sz w:val="24"/>
      <w:szCs w:val="24"/>
      <w:u w:val="none"/>
    </w:rPr>
  </w:style>
  <w:style w:type="character" w:styleId="949" w:customStyle="1">
    <w:name w:val="active16"/>
    <w:basedOn w:val="718"/>
    <w:uiPriority w:val="0"/>
    <w:qFormat/>
    <w:rPr>
      <w:color w:val="ffffff"/>
      <w:shd w:val="clear" w:color="auto" w:fill="0f5bb9"/>
    </w:rPr>
  </w:style>
  <w:style w:type="paragraph" w:styleId="950" w:customStyle="1">
    <w:name w:val="正文1"/>
    <w:next w:val="951"/>
    <w:uiPriority w:val="0"/>
    <w:qFormat/>
    <w:pPr>
      <w:ind w:left="425" w:hanging="425"/>
      <w:spacing w:line="360" w:lineRule="atLeast"/>
      <w:widowControl w:val="off"/>
    </w:pPr>
    <w:rPr>
      <w:rFonts w:ascii="宋体" w:hAnsi="Times New Roman" w:eastAsia="宋体" w:cs="Times New Roman"/>
      <w:position w:val="-6"/>
      <w:sz w:val="32"/>
      <w:lang w:val="en-US" w:eastAsia="zh-CN" w:bidi="ar-SA"/>
    </w:rPr>
  </w:style>
  <w:style w:type="paragraph" w:styleId="951" w:customStyle="1">
    <w:name w:val="正文文本1"/>
    <w:basedOn w:val="708"/>
    <w:next w:val="940"/>
    <w:uiPriority w:val="0"/>
    <w:qFormat/>
    <w:rPr>
      <w:sz w:val="24"/>
      <w:szCs w:val="24"/>
    </w:rPr>
  </w:style>
  <w:style w:type="character" w:styleId="952" w:customStyle="1">
    <w:name w:val="font41"/>
    <w:basedOn w:val="718"/>
    <w:uiPriority w:val="0"/>
    <w:qFormat/>
    <w:rPr>
      <w:rFonts w:hint="eastAsia" w:ascii="宋体" w:hAnsi="宋体" w:eastAsia="宋体" w:cs="宋体"/>
      <w:color w:val="000000"/>
      <w:sz w:val="18"/>
      <w:szCs w:val="18"/>
      <w:u w:val="none"/>
    </w:rPr>
  </w:style>
  <w:style w:type="character" w:styleId="953" w:customStyle="1">
    <w:name w:val="font61"/>
    <w:basedOn w:val="718"/>
    <w:uiPriority w:val="0"/>
    <w:qFormat/>
    <w:rPr>
      <w:rFonts w:ascii="宋体" w:hAnsi="宋体" w:eastAsia="宋体" w:cs="宋体"/>
      <w:color w:val="000000"/>
      <w:sz w:val="18"/>
      <w:szCs w:val="18"/>
      <w:u w:val="none"/>
    </w:rPr>
  </w:style>
  <w:style w:type="character" w:styleId="954" w:customStyle="1">
    <w:name w:val="font71"/>
    <w:basedOn w:val="718"/>
    <w:uiPriority w:val="0"/>
    <w:qFormat/>
    <w:rPr>
      <w:rFonts w:hint="eastAsia" w:ascii="宋体" w:hAnsi="宋体" w:eastAsia="宋体" w:cs="宋体"/>
      <w:color w:val="ff0000"/>
      <w:sz w:val="18"/>
      <w:szCs w:val="18"/>
      <w:u w:val="none"/>
    </w:rPr>
  </w:style>
  <w:style w:type="paragraph" w:styleId="955" w:customStyle="1">
    <w:name w:val="纯文本11"/>
    <w:uiPriority w:val="0"/>
    <w:qFormat/>
    <w:pPr>
      <w:jc w:val="both"/>
      <w:widowControl w:val="off"/>
    </w:pPr>
    <w:rPr>
      <w:rFonts w:hint="eastAsia" w:ascii="宋体" w:hAnsi="宋体" w:eastAsia="楷体_GB2312" w:cs="Times New Roman"/>
      <w:sz w:val="28"/>
      <w:lang w:val="en-US" w:eastAsia="zh-CN" w:bidi="ar-SA"/>
    </w:rPr>
  </w:style>
  <w:style w:type="character" w:styleId="956" w:customStyle="1">
    <w:name w:val="font11"/>
    <w:basedOn w:val="718"/>
    <w:uiPriority w:val="0"/>
    <w:qFormat/>
    <w:rPr>
      <w:rFonts w:hint="eastAsia" w:ascii="宋体" w:hAnsi="宋体" w:eastAsia="宋体" w:cs="宋体"/>
      <w:color w:val="000000"/>
      <w:sz w:val="20"/>
      <w:szCs w:val="20"/>
      <w:u w:val="none"/>
    </w:rPr>
  </w:style>
  <w:style w:type="character" w:styleId="957" w:customStyle="1">
    <w:name w:val="font81"/>
    <w:basedOn w:val="718"/>
    <w:uiPriority w:val="0"/>
    <w:qFormat/>
    <w:rPr>
      <w:rFonts w:hint="eastAsia" w:ascii="宋体" w:hAnsi="宋体" w:eastAsia="宋体" w:cs="宋体"/>
      <w:b/>
      <w:bCs/>
      <w:color w:val="000000"/>
      <w:sz w:val="20"/>
      <w:szCs w:val="20"/>
      <w:u w:val="none"/>
    </w:rPr>
  </w:style>
  <w:style w:type="character" w:styleId="958" w:customStyle="1">
    <w:name w:val="font91"/>
    <w:basedOn w:val="718"/>
    <w:uiPriority w:val="0"/>
    <w:qFormat/>
    <w:rPr>
      <w:rFonts w:hint="eastAsia" w:ascii="宋体" w:hAnsi="宋体" w:eastAsia="宋体" w:cs="宋体"/>
      <w:color w:val="ff0000"/>
      <w:sz w:val="18"/>
      <w:szCs w:val="18"/>
      <w:u w:val="none"/>
    </w:rPr>
  </w:style>
  <w:style w:type="character" w:styleId="959" w:customStyle="1">
    <w:name w:val="font31"/>
    <w:basedOn w:val="718"/>
    <w:uiPriority w:val="0"/>
    <w:qFormat/>
    <w:rPr>
      <w:rFonts w:hint="eastAsia" w:ascii="宋体" w:hAnsi="宋体" w:eastAsia="宋体" w:cs="宋体"/>
      <w:color w:val="ff0000"/>
      <w:sz w:val="18"/>
      <w:szCs w:val="18"/>
      <w:u w:val="none"/>
    </w:rPr>
  </w:style>
  <w:style w:type="table" w:styleId="960" w:customStyle="1">
    <w:name w:val="Table Normal"/>
    <w:uiPriority w:val="0"/>
    <w:semiHidden/>
    <w:unhideWhenUsed/>
    <w:qFormat/>
    <w:tblPr>
      <w:tblCellMar>
        <w:left w:w="0" w:type="dxa"/>
        <w:top w:w="0" w:type="dxa"/>
        <w:right w:w="0" w:type="dxa"/>
        <w:bottom w:w="0" w:type="dxa"/>
      </w:tblCellMar>
    </w:tblPr>
  </w:style>
  <w:style w:type="table" w:styleId="961" w:customStyle="1">
    <w:name w:val="网格型52"/>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7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陈华</cp:lastModifiedBy>
  <cp:revision>30</cp:revision>
  <dcterms:created xsi:type="dcterms:W3CDTF">2014-10-30T04:08:00Z</dcterms:created>
  <dcterms:modified xsi:type="dcterms:W3CDTF">2025-12-23T06:35:19Z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364D91A90F184A5296E3860D42E2DEBD_13</vt:lpwstr>
  </property>
  <property fmtid="{D5CDD505-2E9C-101B-9397-08002B2CF9AE}" pid="4" name="KSOTemplateDocerSaveRecord">
    <vt:lpwstr>eyJoZGlkIjoiYWFlYTE5ODU3MGE0Y2Y4ZmQ0NWUyZTlmNWYwNTNlOWQiLCJ1c2VySWQiOiI0ODEyMDkyMTMifQ==</vt:lpwstr>
  </property>
</Properties>
</file>